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7B5919" w14:textId="0B95D9EF" w:rsidR="00244F7E" w:rsidRPr="001D41A5" w:rsidRDefault="00BF19B4" w:rsidP="00025654">
      <w:pPr>
        <w:spacing w:before="69" w:line="480" w:lineRule="auto"/>
        <w:ind w:left="481" w:firstLine="720"/>
        <w:jc w:val="center"/>
        <w:rPr>
          <w:rFonts w:ascii="Times New Roman" w:eastAsia="Times New Roman" w:hAnsi="Times New Roman" w:cs="Times New Roman"/>
          <w:b/>
          <w:sz w:val="24"/>
          <w:szCs w:val="24"/>
        </w:rPr>
      </w:pPr>
      <w:r w:rsidRPr="001D41A5">
        <w:rPr>
          <w:rFonts w:ascii="Times New Roman" w:eastAsia="Times New Roman" w:hAnsi="Times New Roman" w:cs="Times New Roman"/>
          <w:b/>
          <w:sz w:val="24"/>
          <w:szCs w:val="24"/>
        </w:rPr>
        <w:t>Análisis normativo y metodológico del registro de</w:t>
      </w:r>
    </w:p>
    <w:p w14:paraId="2015D113" w14:textId="53E95A47" w:rsidR="00244F7E" w:rsidRPr="001D41A5" w:rsidRDefault="00BF19B4" w:rsidP="00025654">
      <w:pPr>
        <w:spacing w:before="195" w:line="480" w:lineRule="auto"/>
        <w:ind w:firstLine="720"/>
        <w:jc w:val="center"/>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avaluadores de predios rurales en Colombia</w:t>
      </w:r>
    </w:p>
    <w:p w14:paraId="50202DEE" w14:textId="6FAABFF7" w:rsidR="00025654" w:rsidRPr="001D41A5" w:rsidRDefault="00025654" w:rsidP="00025654">
      <w:pPr>
        <w:spacing w:line="480" w:lineRule="auto"/>
        <w:rPr>
          <w:rFonts w:ascii="Times New Roman" w:eastAsia="Times New Roman" w:hAnsi="Times New Roman" w:cs="Times New Roman"/>
          <w:sz w:val="24"/>
          <w:szCs w:val="24"/>
        </w:rPr>
      </w:pPr>
    </w:p>
    <w:p w14:paraId="0493624B" w14:textId="252E7897" w:rsidR="00025654" w:rsidRPr="001D41A5" w:rsidRDefault="00025654" w:rsidP="00025654">
      <w:pPr>
        <w:spacing w:line="480" w:lineRule="auto"/>
        <w:rPr>
          <w:rFonts w:ascii="Times New Roman" w:eastAsia="Times New Roman" w:hAnsi="Times New Roman" w:cs="Times New Roman"/>
          <w:sz w:val="24"/>
          <w:szCs w:val="24"/>
        </w:rPr>
      </w:pPr>
    </w:p>
    <w:p w14:paraId="02D50C2E" w14:textId="77777777" w:rsidR="00025654" w:rsidRPr="001D41A5" w:rsidRDefault="00025654" w:rsidP="00025654">
      <w:pPr>
        <w:spacing w:line="480" w:lineRule="auto"/>
        <w:rPr>
          <w:rFonts w:ascii="Times New Roman" w:eastAsia="Times New Roman" w:hAnsi="Times New Roman" w:cs="Times New Roman"/>
          <w:sz w:val="24"/>
          <w:szCs w:val="24"/>
        </w:rPr>
      </w:pPr>
    </w:p>
    <w:p w14:paraId="4C3AA325" w14:textId="77777777" w:rsidR="00244F7E" w:rsidRPr="001D41A5" w:rsidRDefault="00244F7E" w:rsidP="00025654">
      <w:pPr>
        <w:spacing w:line="480" w:lineRule="auto"/>
        <w:ind w:firstLine="720"/>
        <w:jc w:val="center"/>
        <w:rPr>
          <w:rFonts w:ascii="Times New Roman" w:eastAsia="Times New Roman" w:hAnsi="Times New Roman" w:cs="Times New Roman"/>
          <w:sz w:val="24"/>
          <w:szCs w:val="24"/>
        </w:rPr>
      </w:pPr>
    </w:p>
    <w:p w14:paraId="0091A92C" w14:textId="77777777" w:rsidR="00244F7E" w:rsidRPr="001D41A5" w:rsidRDefault="00BF19B4" w:rsidP="00025654">
      <w:pPr>
        <w:spacing w:before="69" w:line="480" w:lineRule="auto"/>
        <w:ind w:left="3770" w:firstLine="720"/>
        <w:rPr>
          <w:rFonts w:ascii="Times New Roman" w:eastAsia="Times New Roman" w:hAnsi="Times New Roman" w:cs="Times New Roman"/>
          <w:b/>
          <w:sz w:val="24"/>
          <w:szCs w:val="24"/>
        </w:rPr>
      </w:pPr>
      <w:r w:rsidRPr="001D41A5">
        <w:rPr>
          <w:rFonts w:ascii="Times New Roman" w:eastAsia="Times New Roman" w:hAnsi="Times New Roman" w:cs="Times New Roman"/>
          <w:b/>
          <w:sz w:val="24"/>
          <w:szCs w:val="24"/>
        </w:rPr>
        <w:t>Realizado por</w:t>
      </w:r>
    </w:p>
    <w:p w14:paraId="6F13B195" w14:textId="77777777" w:rsidR="00244F7E" w:rsidRPr="001D41A5" w:rsidRDefault="00BF19B4" w:rsidP="00025654">
      <w:pPr>
        <w:spacing w:before="59" w:line="480" w:lineRule="auto"/>
        <w:ind w:left="2697"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Armando Alveiro Camelo Palencia</w:t>
      </w:r>
    </w:p>
    <w:p w14:paraId="61908E99" w14:textId="77777777" w:rsidR="00244F7E" w:rsidRPr="001D41A5" w:rsidRDefault="00BF19B4" w:rsidP="00025654">
      <w:pPr>
        <w:spacing w:before="59" w:line="480" w:lineRule="auto"/>
        <w:ind w:left="288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John Bermúdez</w:t>
      </w:r>
    </w:p>
    <w:p w14:paraId="01BB7780" w14:textId="77777777" w:rsidR="00244F7E" w:rsidRPr="001D41A5" w:rsidRDefault="00244F7E" w:rsidP="00025654">
      <w:pPr>
        <w:spacing w:line="480" w:lineRule="auto"/>
        <w:ind w:firstLine="720"/>
        <w:rPr>
          <w:rFonts w:ascii="Times New Roman" w:eastAsia="Times New Roman" w:hAnsi="Times New Roman" w:cs="Times New Roman"/>
          <w:sz w:val="24"/>
          <w:szCs w:val="24"/>
        </w:rPr>
      </w:pPr>
    </w:p>
    <w:p w14:paraId="6C4B4A76" w14:textId="1F748A54" w:rsidR="00025654" w:rsidRPr="001D41A5" w:rsidRDefault="00025654" w:rsidP="00025654">
      <w:pPr>
        <w:spacing w:line="480" w:lineRule="auto"/>
        <w:ind w:firstLine="720"/>
        <w:rPr>
          <w:rFonts w:ascii="Times New Roman" w:eastAsia="Times New Roman" w:hAnsi="Times New Roman" w:cs="Times New Roman"/>
          <w:sz w:val="24"/>
          <w:szCs w:val="24"/>
        </w:rPr>
      </w:pPr>
    </w:p>
    <w:p w14:paraId="54EB7CED" w14:textId="77777777" w:rsidR="00025654" w:rsidRPr="001D41A5" w:rsidRDefault="00025654" w:rsidP="00025654">
      <w:pPr>
        <w:spacing w:line="480" w:lineRule="auto"/>
        <w:ind w:firstLine="720"/>
        <w:rPr>
          <w:rFonts w:ascii="Times New Roman" w:eastAsia="Times New Roman" w:hAnsi="Times New Roman" w:cs="Times New Roman"/>
          <w:sz w:val="24"/>
          <w:szCs w:val="24"/>
        </w:rPr>
      </w:pPr>
    </w:p>
    <w:p w14:paraId="3D3594A0" w14:textId="77777777" w:rsidR="00244F7E" w:rsidRPr="001D41A5" w:rsidRDefault="00BF19B4" w:rsidP="00025654">
      <w:pPr>
        <w:spacing w:before="103" w:line="480" w:lineRule="auto"/>
        <w:ind w:left="2999"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Facultad de Derecho</w:t>
      </w:r>
    </w:p>
    <w:p w14:paraId="70DC4BDD" w14:textId="59A062B3" w:rsidR="00244F7E" w:rsidRPr="001D41A5" w:rsidRDefault="00BF19B4" w:rsidP="00025654">
      <w:pPr>
        <w:spacing w:before="50" w:line="480" w:lineRule="auto"/>
        <w:ind w:left="1545"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Universidad Autónoma Latinoamerican</w:t>
      </w:r>
      <w:r w:rsidR="00025654" w:rsidRPr="001D41A5">
        <w:rPr>
          <w:rFonts w:ascii="Times New Roman" w:eastAsia="Times New Roman" w:hAnsi="Times New Roman" w:cs="Times New Roman"/>
          <w:sz w:val="24"/>
          <w:szCs w:val="24"/>
        </w:rPr>
        <w:t>a</w:t>
      </w:r>
    </w:p>
    <w:p w14:paraId="78F74FC8" w14:textId="3BD535F0" w:rsidR="008719E9" w:rsidRPr="001D41A5" w:rsidRDefault="008719E9" w:rsidP="008719E9">
      <w:pPr>
        <w:rPr>
          <w:rFonts w:ascii="Times New Roman" w:eastAsia="Times New Roman" w:hAnsi="Times New Roman" w:cs="Times New Roman"/>
          <w:sz w:val="24"/>
          <w:szCs w:val="24"/>
        </w:rPr>
      </w:pPr>
    </w:p>
    <w:p w14:paraId="1E406462" w14:textId="6A7C12EB" w:rsidR="008719E9" w:rsidRPr="001D41A5" w:rsidRDefault="008719E9" w:rsidP="008719E9">
      <w:pPr>
        <w:tabs>
          <w:tab w:val="left" w:pos="3585"/>
        </w:tabs>
        <w:rPr>
          <w:rFonts w:ascii="Times New Roman" w:eastAsia="Times New Roman" w:hAnsi="Times New Roman" w:cs="Times New Roman"/>
          <w:sz w:val="24"/>
          <w:szCs w:val="24"/>
        </w:rPr>
      </w:pPr>
    </w:p>
    <w:p w14:paraId="1BD91130" w14:textId="77777777" w:rsidR="00244F7E" w:rsidRPr="001D41A5" w:rsidRDefault="00BF19B4"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noProof/>
          <w:sz w:val="24"/>
          <w:szCs w:val="24"/>
        </w:rPr>
        <w:drawing>
          <wp:inline distT="0" distB="0" distL="0" distR="0" wp14:anchorId="0466E3AC" wp14:editId="7DBC3A96">
            <wp:extent cx="4781550" cy="2314575"/>
            <wp:effectExtent l="0" t="0" r="0" b="0"/>
            <wp:docPr id="11" name="Imagen 1"/>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a:stretch>
                      <a:fillRect/>
                    </a:stretch>
                  </pic:blipFill>
                  <pic:spPr>
                    <a:xfrm>
                      <a:off x="0" y="0"/>
                      <a:ext cx="4781827" cy="2314709"/>
                    </a:xfrm>
                    <a:prstGeom prst="rect">
                      <a:avLst/>
                    </a:prstGeom>
                    <a:ln/>
                  </pic:spPr>
                </pic:pic>
              </a:graphicData>
            </a:graphic>
          </wp:inline>
        </w:drawing>
      </w:r>
    </w:p>
    <w:p w14:paraId="4E5762A8" w14:textId="717510A3" w:rsidR="00722163" w:rsidRPr="001D41A5" w:rsidRDefault="00722163" w:rsidP="008719E9">
      <w:pPr>
        <w:spacing w:line="480" w:lineRule="auto"/>
        <w:jc w:val="both"/>
        <w:rPr>
          <w:rFonts w:ascii="Times New Roman" w:eastAsia="Times New Roman" w:hAnsi="Times New Roman" w:cs="Times New Roman"/>
          <w:sz w:val="24"/>
          <w:szCs w:val="24"/>
        </w:rPr>
        <w:sectPr w:rsidR="00722163" w:rsidRPr="001D41A5" w:rsidSect="008719E9">
          <w:pgSz w:w="12240" w:h="15840" w:code="1"/>
          <w:pgMar w:top="1440" w:right="1440" w:bottom="1440" w:left="1440" w:header="0" w:footer="0" w:gutter="0"/>
          <w:pgNumType w:start="1"/>
          <w:cols w:space="720"/>
          <w:docGrid w:linePitch="286"/>
        </w:sectPr>
      </w:pPr>
    </w:p>
    <w:sdt>
      <w:sdtPr>
        <w:rPr>
          <w:rFonts w:ascii="Times New Roman" w:eastAsia="Arial" w:hAnsi="Times New Roman" w:cs="Times New Roman"/>
          <w:snapToGrid w:val="0"/>
          <w:color w:val="000000"/>
          <w:sz w:val="24"/>
          <w:szCs w:val="24"/>
          <w:lang w:val="es-ES"/>
        </w:rPr>
        <w:id w:val="45412839"/>
        <w:docPartObj>
          <w:docPartGallery w:val="Table of Contents"/>
          <w:docPartUnique/>
        </w:docPartObj>
      </w:sdtPr>
      <w:sdtEndPr>
        <w:rPr>
          <w:b/>
          <w:bCs/>
        </w:rPr>
      </w:sdtEndPr>
      <w:sdtContent>
        <w:p w14:paraId="4DB823CA" w14:textId="77777777" w:rsidR="00722163" w:rsidRPr="001D41A5" w:rsidRDefault="00722163" w:rsidP="00041A10">
          <w:pPr>
            <w:pStyle w:val="TtuloTDC"/>
            <w:spacing w:line="240" w:lineRule="auto"/>
            <w:ind w:firstLine="720"/>
            <w:rPr>
              <w:rFonts w:ascii="Times New Roman" w:hAnsi="Times New Roman" w:cs="Times New Roman"/>
              <w:color w:val="auto"/>
              <w:sz w:val="24"/>
              <w:szCs w:val="24"/>
            </w:rPr>
          </w:pPr>
          <w:r w:rsidRPr="001D41A5">
            <w:rPr>
              <w:rFonts w:ascii="Times New Roman" w:hAnsi="Times New Roman" w:cs="Times New Roman"/>
              <w:color w:val="auto"/>
              <w:sz w:val="24"/>
              <w:szCs w:val="24"/>
              <w:lang w:val="es-ES"/>
            </w:rPr>
            <w:t>Tabla de contenido</w:t>
          </w:r>
        </w:p>
        <w:p w14:paraId="47B6A34B" w14:textId="5F45F692" w:rsidR="00377552" w:rsidRPr="001D41A5" w:rsidRDefault="00722163">
          <w:pPr>
            <w:pStyle w:val="TDC1"/>
            <w:tabs>
              <w:tab w:val="right" w:leader="dot" w:pos="9030"/>
            </w:tabs>
            <w:rPr>
              <w:rFonts w:asciiTheme="minorHAnsi" w:eastAsiaTheme="minorEastAsia" w:hAnsiTheme="minorHAnsi" w:cstheme="minorBidi"/>
              <w:noProof/>
              <w:snapToGrid/>
              <w:color w:val="auto"/>
              <w:sz w:val="22"/>
              <w:szCs w:val="22"/>
            </w:rPr>
          </w:pPr>
          <w:r w:rsidRPr="001D41A5">
            <w:rPr>
              <w:rFonts w:ascii="Times New Roman" w:hAnsi="Times New Roman" w:cs="Times New Roman"/>
              <w:sz w:val="24"/>
              <w:szCs w:val="24"/>
            </w:rPr>
            <w:fldChar w:fldCharType="begin"/>
          </w:r>
          <w:r w:rsidRPr="001D41A5">
            <w:rPr>
              <w:rFonts w:ascii="Times New Roman" w:hAnsi="Times New Roman" w:cs="Times New Roman"/>
              <w:sz w:val="24"/>
              <w:szCs w:val="24"/>
            </w:rPr>
            <w:instrText xml:space="preserve"> TOC \o "1-3" \h \z \u </w:instrText>
          </w:r>
          <w:r w:rsidRPr="001D41A5">
            <w:rPr>
              <w:rFonts w:ascii="Times New Roman" w:hAnsi="Times New Roman" w:cs="Times New Roman"/>
              <w:sz w:val="24"/>
              <w:szCs w:val="24"/>
            </w:rPr>
            <w:fldChar w:fldCharType="separate"/>
          </w:r>
          <w:hyperlink w:anchor="_Toc151281935" w:history="1">
            <w:r w:rsidR="00377552" w:rsidRPr="001D41A5">
              <w:rPr>
                <w:rStyle w:val="Hipervnculo"/>
                <w:rFonts w:ascii="Times New Roman" w:eastAsia="Times New Roman" w:hAnsi="Times New Roman" w:cs="Times New Roman"/>
                <w:b/>
                <w:noProof/>
              </w:rPr>
              <w:t>Resumen</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_Toc151281935 \h </w:instrText>
            </w:r>
            <w:r w:rsidR="00377552" w:rsidRPr="001D41A5">
              <w:rPr>
                <w:noProof/>
                <w:webHidden/>
              </w:rPr>
            </w:r>
            <w:r w:rsidR="00377552" w:rsidRPr="001D41A5">
              <w:rPr>
                <w:noProof/>
                <w:webHidden/>
              </w:rPr>
              <w:fldChar w:fldCharType="separate"/>
            </w:r>
            <w:r w:rsidR="00CF0201">
              <w:rPr>
                <w:noProof/>
                <w:webHidden/>
              </w:rPr>
              <w:t>3</w:t>
            </w:r>
            <w:r w:rsidR="00377552" w:rsidRPr="001D41A5">
              <w:rPr>
                <w:noProof/>
                <w:webHidden/>
              </w:rPr>
              <w:fldChar w:fldCharType="end"/>
            </w:r>
          </w:hyperlink>
        </w:p>
        <w:p w14:paraId="44A34B3D" w14:textId="5B24D534" w:rsidR="00377552" w:rsidRPr="001D41A5" w:rsidRDefault="00000000">
          <w:pPr>
            <w:pStyle w:val="TDC1"/>
            <w:tabs>
              <w:tab w:val="right" w:leader="dot" w:pos="9030"/>
            </w:tabs>
            <w:rPr>
              <w:rFonts w:asciiTheme="minorHAnsi" w:eastAsiaTheme="minorEastAsia" w:hAnsiTheme="minorHAnsi" w:cstheme="minorBidi"/>
              <w:noProof/>
              <w:snapToGrid/>
              <w:color w:val="auto"/>
              <w:sz w:val="22"/>
              <w:szCs w:val="22"/>
            </w:rPr>
          </w:pPr>
          <w:hyperlink w:anchor="_Toc151281936" w:history="1">
            <w:r w:rsidR="00377552" w:rsidRPr="001D41A5">
              <w:rPr>
                <w:rStyle w:val="Hipervnculo"/>
                <w:rFonts w:ascii="Times New Roman" w:eastAsia="Times New Roman" w:hAnsi="Times New Roman" w:cs="Times New Roman"/>
                <w:b/>
                <w:bCs/>
                <w:iCs/>
                <w:noProof/>
              </w:rPr>
              <w:t>Abstract</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_Toc151281936 \h </w:instrText>
            </w:r>
            <w:r w:rsidR="00377552" w:rsidRPr="001D41A5">
              <w:rPr>
                <w:noProof/>
                <w:webHidden/>
              </w:rPr>
            </w:r>
            <w:r w:rsidR="00377552" w:rsidRPr="001D41A5">
              <w:rPr>
                <w:noProof/>
                <w:webHidden/>
              </w:rPr>
              <w:fldChar w:fldCharType="separate"/>
            </w:r>
            <w:r w:rsidR="00CF0201">
              <w:rPr>
                <w:noProof/>
                <w:webHidden/>
              </w:rPr>
              <w:t>4</w:t>
            </w:r>
            <w:r w:rsidR="00377552" w:rsidRPr="001D41A5">
              <w:rPr>
                <w:noProof/>
                <w:webHidden/>
              </w:rPr>
              <w:fldChar w:fldCharType="end"/>
            </w:r>
          </w:hyperlink>
        </w:p>
        <w:p w14:paraId="478A3894" w14:textId="2F129E43" w:rsidR="00377552" w:rsidRPr="001D41A5" w:rsidRDefault="00000000">
          <w:pPr>
            <w:pStyle w:val="TDC1"/>
            <w:tabs>
              <w:tab w:val="right" w:leader="dot" w:pos="9030"/>
            </w:tabs>
            <w:rPr>
              <w:rFonts w:asciiTheme="minorHAnsi" w:eastAsiaTheme="minorEastAsia" w:hAnsiTheme="minorHAnsi" w:cstheme="minorBidi"/>
              <w:noProof/>
              <w:snapToGrid/>
              <w:color w:val="auto"/>
              <w:sz w:val="22"/>
              <w:szCs w:val="22"/>
            </w:rPr>
          </w:pPr>
          <w:hyperlink w:anchor="_Toc151281937" w:history="1">
            <w:r w:rsidR="00377552" w:rsidRPr="001D41A5">
              <w:rPr>
                <w:rStyle w:val="Hipervnculo"/>
                <w:rFonts w:ascii="Times New Roman" w:eastAsia="Times New Roman" w:hAnsi="Times New Roman" w:cs="Times New Roman"/>
                <w:b/>
                <w:noProof/>
              </w:rPr>
              <w:t>Introducción</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_Toc151281937 \h </w:instrText>
            </w:r>
            <w:r w:rsidR="00377552" w:rsidRPr="001D41A5">
              <w:rPr>
                <w:noProof/>
                <w:webHidden/>
              </w:rPr>
            </w:r>
            <w:r w:rsidR="00377552" w:rsidRPr="001D41A5">
              <w:rPr>
                <w:noProof/>
                <w:webHidden/>
              </w:rPr>
              <w:fldChar w:fldCharType="separate"/>
            </w:r>
            <w:r w:rsidR="00CF0201">
              <w:rPr>
                <w:noProof/>
                <w:webHidden/>
              </w:rPr>
              <w:t>5</w:t>
            </w:r>
            <w:r w:rsidR="00377552" w:rsidRPr="001D41A5">
              <w:rPr>
                <w:noProof/>
                <w:webHidden/>
              </w:rPr>
              <w:fldChar w:fldCharType="end"/>
            </w:r>
          </w:hyperlink>
        </w:p>
        <w:p w14:paraId="1CA9624E" w14:textId="6B058079" w:rsidR="00377552" w:rsidRPr="001D41A5" w:rsidRDefault="00000000">
          <w:pPr>
            <w:pStyle w:val="TDC1"/>
            <w:tabs>
              <w:tab w:val="right" w:leader="dot" w:pos="9030"/>
            </w:tabs>
            <w:rPr>
              <w:rFonts w:asciiTheme="minorHAnsi" w:eastAsiaTheme="minorEastAsia" w:hAnsiTheme="minorHAnsi" w:cstheme="minorBidi"/>
              <w:noProof/>
              <w:snapToGrid/>
              <w:color w:val="auto"/>
              <w:sz w:val="22"/>
              <w:szCs w:val="22"/>
            </w:rPr>
          </w:pPr>
          <w:hyperlink w:anchor="_Toc151281938" w:history="1">
            <w:r w:rsidR="00377552" w:rsidRPr="001D41A5">
              <w:rPr>
                <w:rStyle w:val="Hipervnculo"/>
                <w:rFonts w:ascii="Times New Roman" w:eastAsia="Times New Roman" w:hAnsi="Times New Roman" w:cs="Times New Roman"/>
                <w:b/>
                <w:noProof/>
              </w:rPr>
              <w:t>Primer capítulo</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_Toc151281938 \h </w:instrText>
            </w:r>
            <w:r w:rsidR="00377552" w:rsidRPr="001D41A5">
              <w:rPr>
                <w:noProof/>
                <w:webHidden/>
              </w:rPr>
            </w:r>
            <w:r w:rsidR="00377552" w:rsidRPr="001D41A5">
              <w:rPr>
                <w:noProof/>
                <w:webHidden/>
              </w:rPr>
              <w:fldChar w:fldCharType="separate"/>
            </w:r>
            <w:r w:rsidR="00CF0201">
              <w:rPr>
                <w:noProof/>
                <w:webHidden/>
              </w:rPr>
              <w:t>9</w:t>
            </w:r>
            <w:r w:rsidR="00377552" w:rsidRPr="001D41A5">
              <w:rPr>
                <w:noProof/>
                <w:webHidden/>
              </w:rPr>
              <w:fldChar w:fldCharType="end"/>
            </w:r>
          </w:hyperlink>
        </w:p>
        <w:p w14:paraId="292D0A54" w14:textId="27297FB8"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39" w:history="1">
            <w:r w:rsidR="00377552" w:rsidRPr="001D41A5">
              <w:rPr>
                <w:rStyle w:val="Hipervnculo"/>
                <w:rFonts w:ascii="Times New Roman" w:eastAsia="Times New Roman" w:hAnsi="Times New Roman" w:cs="Times New Roman"/>
                <w:b/>
                <w:noProof/>
              </w:rPr>
              <w:t>Los avalúos</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_Toc151281939 \h </w:instrText>
            </w:r>
            <w:r w:rsidR="00377552" w:rsidRPr="001D41A5">
              <w:rPr>
                <w:noProof/>
                <w:webHidden/>
              </w:rPr>
            </w:r>
            <w:r w:rsidR="00377552" w:rsidRPr="001D41A5">
              <w:rPr>
                <w:noProof/>
                <w:webHidden/>
              </w:rPr>
              <w:fldChar w:fldCharType="separate"/>
            </w:r>
            <w:r w:rsidR="00CF0201">
              <w:rPr>
                <w:noProof/>
                <w:webHidden/>
              </w:rPr>
              <w:t>9</w:t>
            </w:r>
            <w:r w:rsidR="00377552" w:rsidRPr="001D41A5">
              <w:rPr>
                <w:noProof/>
                <w:webHidden/>
              </w:rPr>
              <w:fldChar w:fldCharType="end"/>
            </w:r>
          </w:hyperlink>
        </w:p>
        <w:p w14:paraId="3FF1F0A3" w14:textId="1805CE7D"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40" w:history="1">
            <w:r w:rsidR="00377552" w:rsidRPr="001D41A5">
              <w:rPr>
                <w:rStyle w:val="Hipervnculo"/>
                <w:rFonts w:ascii="Times New Roman" w:eastAsia="Times New Roman" w:hAnsi="Times New Roman" w:cs="Times New Roman"/>
                <w:b/>
                <w:noProof/>
              </w:rPr>
              <w:t>Cronología del marco legal colombiano sobre el avalúo</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_Toc151281940 \h </w:instrText>
            </w:r>
            <w:r w:rsidR="00377552" w:rsidRPr="001D41A5">
              <w:rPr>
                <w:noProof/>
                <w:webHidden/>
              </w:rPr>
            </w:r>
            <w:r w:rsidR="00377552" w:rsidRPr="001D41A5">
              <w:rPr>
                <w:noProof/>
                <w:webHidden/>
              </w:rPr>
              <w:fldChar w:fldCharType="separate"/>
            </w:r>
            <w:r w:rsidR="00CF0201">
              <w:rPr>
                <w:noProof/>
                <w:webHidden/>
              </w:rPr>
              <w:t>15</w:t>
            </w:r>
            <w:r w:rsidR="00377552" w:rsidRPr="001D41A5">
              <w:rPr>
                <w:noProof/>
                <w:webHidden/>
              </w:rPr>
              <w:fldChar w:fldCharType="end"/>
            </w:r>
          </w:hyperlink>
        </w:p>
        <w:p w14:paraId="3FA978ED" w14:textId="77E8C641" w:rsidR="00377552" w:rsidRPr="001D41A5" w:rsidRDefault="00000000">
          <w:pPr>
            <w:pStyle w:val="TDC3"/>
            <w:tabs>
              <w:tab w:val="right" w:leader="dot" w:pos="9030"/>
            </w:tabs>
            <w:rPr>
              <w:rFonts w:asciiTheme="minorHAnsi" w:eastAsiaTheme="minorEastAsia" w:hAnsiTheme="minorHAnsi" w:cstheme="minorBidi"/>
              <w:noProof/>
              <w:snapToGrid/>
              <w:color w:val="auto"/>
              <w:sz w:val="22"/>
              <w:szCs w:val="22"/>
            </w:rPr>
          </w:pPr>
          <w:hyperlink w:anchor="_Toc151281941" w:history="1">
            <w:r w:rsidR="00377552" w:rsidRPr="001D41A5">
              <w:rPr>
                <w:rStyle w:val="Hipervnculo"/>
                <w:rFonts w:ascii="Times New Roman" w:eastAsia="Times New Roman" w:hAnsi="Times New Roman" w:cs="Times New Roman"/>
                <w:b/>
                <w:noProof/>
              </w:rPr>
              <w:t>Constitución Política de Colombia de 1991</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_Toc151281941 \h </w:instrText>
            </w:r>
            <w:r w:rsidR="00377552" w:rsidRPr="001D41A5">
              <w:rPr>
                <w:noProof/>
                <w:webHidden/>
              </w:rPr>
            </w:r>
            <w:r w:rsidR="00377552" w:rsidRPr="001D41A5">
              <w:rPr>
                <w:noProof/>
                <w:webHidden/>
              </w:rPr>
              <w:fldChar w:fldCharType="separate"/>
            </w:r>
            <w:r w:rsidR="00CF0201">
              <w:rPr>
                <w:noProof/>
                <w:webHidden/>
              </w:rPr>
              <w:t>16</w:t>
            </w:r>
            <w:r w:rsidR="00377552" w:rsidRPr="001D41A5">
              <w:rPr>
                <w:noProof/>
                <w:webHidden/>
              </w:rPr>
              <w:fldChar w:fldCharType="end"/>
            </w:r>
          </w:hyperlink>
        </w:p>
        <w:p w14:paraId="63910286" w14:textId="0B155232" w:rsidR="00377552" w:rsidRPr="001D41A5" w:rsidRDefault="00000000">
          <w:pPr>
            <w:pStyle w:val="TDC3"/>
            <w:tabs>
              <w:tab w:val="right" w:leader="dot" w:pos="9030"/>
            </w:tabs>
            <w:rPr>
              <w:rFonts w:asciiTheme="minorHAnsi" w:eastAsiaTheme="minorEastAsia" w:hAnsiTheme="minorHAnsi" w:cstheme="minorBidi"/>
              <w:noProof/>
              <w:snapToGrid/>
              <w:color w:val="auto"/>
              <w:sz w:val="22"/>
              <w:szCs w:val="22"/>
            </w:rPr>
          </w:pPr>
          <w:hyperlink w:anchor="_Toc151281942" w:history="1">
            <w:r w:rsidR="00377552" w:rsidRPr="001D41A5">
              <w:rPr>
                <w:rStyle w:val="Hipervnculo"/>
                <w:rFonts w:ascii="Times New Roman" w:eastAsia="Times New Roman" w:hAnsi="Times New Roman" w:cs="Times New Roman"/>
                <w:b/>
                <w:noProof/>
              </w:rPr>
              <w:t>Ley 84 de 1873 (Código Civil de Colombia)</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_Toc151281942 \h </w:instrText>
            </w:r>
            <w:r w:rsidR="00377552" w:rsidRPr="001D41A5">
              <w:rPr>
                <w:noProof/>
                <w:webHidden/>
              </w:rPr>
            </w:r>
            <w:r w:rsidR="00377552" w:rsidRPr="001D41A5">
              <w:rPr>
                <w:noProof/>
                <w:webHidden/>
              </w:rPr>
              <w:fldChar w:fldCharType="separate"/>
            </w:r>
            <w:r w:rsidR="00CF0201">
              <w:rPr>
                <w:noProof/>
                <w:webHidden/>
              </w:rPr>
              <w:t>17</w:t>
            </w:r>
            <w:r w:rsidR="00377552" w:rsidRPr="001D41A5">
              <w:rPr>
                <w:noProof/>
                <w:webHidden/>
              </w:rPr>
              <w:fldChar w:fldCharType="end"/>
            </w:r>
          </w:hyperlink>
        </w:p>
        <w:p w14:paraId="4D1AB422" w14:textId="1061B03E" w:rsidR="00377552" w:rsidRPr="001D41A5" w:rsidRDefault="00000000">
          <w:pPr>
            <w:pStyle w:val="TDC3"/>
            <w:tabs>
              <w:tab w:val="right" w:leader="dot" w:pos="9030"/>
            </w:tabs>
            <w:rPr>
              <w:rFonts w:asciiTheme="minorHAnsi" w:eastAsiaTheme="minorEastAsia" w:hAnsiTheme="minorHAnsi" w:cstheme="minorBidi"/>
              <w:noProof/>
              <w:snapToGrid/>
              <w:color w:val="auto"/>
              <w:sz w:val="22"/>
              <w:szCs w:val="22"/>
            </w:rPr>
          </w:pPr>
          <w:hyperlink w:anchor="_Toc151281943" w:history="1">
            <w:r w:rsidR="00377552" w:rsidRPr="001D41A5">
              <w:rPr>
                <w:rStyle w:val="Hipervnculo"/>
                <w:rFonts w:ascii="Times New Roman" w:eastAsia="Times New Roman" w:hAnsi="Times New Roman" w:cs="Times New Roman"/>
                <w:b/>
                <w:noProof/>
              </w:rPr>
              <w:t>Ley 388 de 1997</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_Toc151281943 \h </w:instrText>
            </w:r>
            <w:r w:rsidR="00377552" w:rsidRPr="001D41A5">
              <w:rPr>
                <w:noProof/>
                <w:webHidden/>
              </w:rPr>
            </w:r>
            <w:r w:rsidR="00377552" w:rsidRPr="001D41A5">
              <w:rPr>
                <w:noProof/>
                <w:webHidden/>
              </w:rPr>
              <w:fldChar w:fldCharType="separate"/>
            </w:r>
            <w:r w:rsidR="00CF0201">
              <w:rPr>
                <w:noProof/>
                <w:webHidden/>
              </w:rPr>
              <w:t>19</w:t>
            </w:r>
            <w:r w:rsidR="00377552" w:rsidRPr="001D41A5">
              <w:rPr>
                <w:noProof/>
                <w:webHidden/>
              </w:rPr>
              <w:fldChar w:fldCharType="end"/>
            </w:r>
          </w:hyperlink>
        </w:p>
        <w:p w14:paraId="147D53F2" w14:textId="0529FC18" w:rsidR="00377552" w:rsidRPr="001D41A5" w:rsidRDefault="00000000">
          <w:pPr>
            <w:pStyle w:val="TDC3"/>
            <w:tabs>
              <w:tab w:val="right" w:leader="dot" w:pos="9030"/>
            </w:tabs>
            <w:rPr>
              <w:rFonts w:asciiTheme="minorHAnsi" w:eastAsiaTheme="minorEastAsia" w:hAnsiTheme="minorHAnsi" w:cstheme="minorBidi"/>
              <w:noProof/>
              <w:snapToGrid/>
              <w:color w:val="auto"/>
              <w:sz w:val="22"/>
              <w:szCs w:val="22"/>
            </w:rPr>
          </w:pPr>
          <w:hyperlink w:anchor="_Toc151281944" w:history="1">
            <w:r w:rsidR="00377552" w:rsidRPr="001D41A5">
              <w:rPr>
                <w:rStyle w:val="Hipervnculo"/>
                <w:rFonts w:ascii="Times New Roman" w:eastAsia="Times New Roman" w:hAnsi="Times New Roman" w:cs="Times New Roman"/>
                <w:b/>
                <w:noProof/>
              </w:rPr>
              <w:t>Decreto 2150 de 1995</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_Toc151281944 \h </w:instrText>
            </w:r>
            <w:r w:rsidR="00377552" w:rsidRPr="001D41A5">
              <w:rPr>
                <w:noProof/>
                <w:webHidden/>
              </w:rPr>
            </w:r>
            <w:r w:rsidR="00377552" w:rsidRPr="001D41A5">
              <w:rPr>
                <w:noProof/>
                <w:webHidden/>
              </w:rPr>
              <w:fldChar w:fldCharType="separate"/>
            </w:r>
            <w:r w:rsidR="00CF0201">
              <w:rPr>
                <w:noProof/>
                <w:webHidden/>
              </w:rPr>
              <w:t>21</w:t>
            </w:r>
            <w:r w:rsidR="00377552" w:rsidRPr="001D41A5">
              <w:rPr>
                <w:noProof/>
                <w:webHidden/>
              </w:rPr>
              <w:fldChar w:fldCharType="end"/>
            </w:r>
          </w:hyperlink>
        </w:p>
        <w:p w14:paraId="270A2B5B" w14:textId="6B1175EE" w:rsidR="00377552" w:rsidRPr="001D41A5" w:rsidRDefault="00000000">
          <w:pPr>
            <w:pStyle w:val="TDC3"/>
            <w:tabs>
              <w:tab w:val="right" w:leader="dot" w:pos="9030"/>
            </w:tabs>
            <w:rPr>
              <w:rFonts w:asciiTheme="minorHAnsi" w:eastAsiaTheme="minorEastAsia" w:hAnsiTheme="minorHAnsi" w:cstheme="minorBidi"/>
              <w:noProof/>
              <w:snapToGrid/>
              <w:color w:val="auto"/>
              <w:sz w:val="22"/>
              <w:szCs w:val="22"/>
            </w:rPr>
          </w:pPr>
          <w:hyperlink w:anchor="_Toc151281945" w:history="1">
            <w:r w:rsidR="00377552" w:rsidRPr="001D41A5">
              <w:rPr>
                <w:rStyle w:val="Hipervnculo"/>
                <w:rFonts w:ascii="Times New Roman" w:eastAsia="Times New Roman" w:hAnsi="Times New Roman" w:cs="Times New Roman"/>
                <w:b/>
                <w:noProof/>
              </w:rPr>
              <w:t>Decreto 1420 de 1998</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_Toc151281945 \h </w:instrText>
            </w:r>
            <w:r w:rsidR="00377552" w:rsidRPr="001D41A5">
              <w:rPr>
                <w:noProof/>
                <w:webHidden/>
              </w:rPr>
            </w:r>
            <w:r w:rsidR="00377552" w:rsidRPr="001D41A5">
              <w:rPr>
                <w:noProof/>
                <w:webHidden/>
              </w:rPr>
              <w:fldChar w:fldCharType="separate"/>
            </w:r>
            <w:r w:rsidR="00CF0201">
              <w:rPr>
                <w:noProof/>
                <w:webHidden/>
              </w:rPr>
              <w:t>21</w:t>
            </w:r>
            <w:r w:rsidR="00377552" w:rsidRPr="001D41A5">
              <w:rPr>
                <w:noProof/>
                <w:webHidden/>
              </w:rPr>
              <w:fldChar w:fldCharType="end"/>
            </w:r>
          </w:hyperlink>
        </w:p>
        <w:p w14:paraId="4C2DFDA0" w14:textId="72685E79" w:rsidR="00377552" w:rsidRPr="001D41A5" w:rsidRDefault="00000000">
          <w:pPr>
            <w:pStyle w:val="TDC3"/>
            <w:tabs>
              <w:tab w:val="right" w:leader="dot" w:pos="9030"/>
            </w:tabs>
            <w:rPr>
              <w:rFonts w:asciiTheme="minorHAnsi" w:eastAsiaTheme="minorEastAsia" w:hAnsiTheme="minorHAnsi" w:cstheme="minorBidi"/>
              <w:noProof/>
              <w:snapToGrid/>
              <w:color w:val="auto"/>
              <w:sz w:val="22"/>
              <w:szCs w:val="22"/>
            </w:rPr>
          </w:pPr>
          <w:hyperlink w:anchor="_Toc151281946" w:history="1">
            <w:r w:rsidR="00377552" w:rsidRPr="001D41A5">
              <w:rPr>
                <w:rStyle w:val="Hipervnculo"/>
                <w:rFonts w:ascii="Times New Roman" w:eastAsia="Times New Roman" w:hAnsi="Times New Roman" w:cs="Times New Roman"/>
                <w:b/>
                <w:noProof/>
              </w:rPr>
              <w:t>Ley 510 de 1999</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_Toc151281946 \h </w:instrText>
            </w:r>
            <w:r w:rsidR="00377552" w:rsidRPr="001D41A5">
              <w:rPr>
                <w:noProof/>
                <w:webHidden/>
              </w:rPr>
            </w:r>
            <w:r w:rsidR="00377552" w:rsidRPr="001D41A5">
              <w:rPr>
                <w:noProof/>
                <w:webHidden/>
              </w:rPr>
              <w:fldChar w:fldCharType="separate"/>
            </w:r>
            <w:r w:rsidR="00CF0201">
              <w:rPr>
                <w:noProof/>
                <w:webHidden/>
              </w:rPr>
              <w:t>24</w:t>
            </w:r>
            <w:r w:rsidR="00377552" w:rsidRPr="001D41A5">
              <w:rPr>
                <w:noProof/>
                <w:webHidden/>
              </w:rPr>
              <w:fldChar w:fldCharType="end"/>
            </w:r>
          </w:hyperlink>
        </w:p>
        <w:p w14:paraId="1B67CC7A" w14:textId="15B256A5" w:rsidR="00377552" w:rsidRPr="001D41A5" w:rsidRDefault="00000000">
          <w:pPr>
            <w:pStyle w:val="TDC1"/>
            <w:tabs>
              <w:tab w:val="right" w:leader="dot" w:pos="9030"/>
            </w:tabs>
            <w:rPr>
              <w:rFonts w:asciiTheme="minorHAnsi" w:eastAsiaTheme="minorEastAsia" w:hAnsiTheme="minorHAnsi" w:cstheme="minorBidi"/>
              <w:noProof/>
              <w:snapToGrid/>
              <w:color w:val="auto"/>
              <w:sz w:val="22"/>
              <w:szCs w:val="22"/>
            </w:rPr>
          </w:pPr>
          <w:hyperlink w:anchor="_Toc151281947" w:history="1">
            <w:r w:rsidR="00377552" w:rsidRPr="001D41A5">
              <w:rPr>
                <w:rStyle w:val="Hipervnculo"/>
                <w:rFonts w:ascii="Times New Roman" w:eastAsia="Times New Roman" w:hAnsi="Times New Roman" w:cs="Times New Roman"/>
                <w:b/>
                <w:noProof/>
              </w:rPr>
              <w:t>Segundo capítulo</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_Toc151281947 \h </w:instrText>
            </w:r>
            <w:r w:rsidR="00377552" w:rsidRPr="001D41A5">
              <w:rPr>
                <w:noProof/>
                <w:webHidden/>
              </w:rPr>
            </w:r>
            <w:r w:rsidR="00377552" w:rsidRPr="001D41A5">
              <w:rPr>
                <w:noProof/>
                <w:webHidden/>
              </w:rPr>
              <w:fldChar w:fldCharType="separate"/>
            </w:r>
            <w:r w:rsidR="00CF0201">
              <w:rPr>
                <w:noProof/>
                <w:webHidden/>
              </w:rPr>
              <w:t>25</w:t>
            </w:r>
            <w:r w:rsidR="00377552" w:rsidRPr="001D41A5">
              <w:rPr>
                <w:noProof/>
                <w:webHidden/>
              </w:rPr>
              <w:fldChar w:fldCharType="end"/>
            </w:r>
          </w:hyperlink>
        </w:p>
        <w:p w14:paraId="781C26A1" w14:textId="63B18AAB"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48" w:history="1">
            <w:r w:rsidR="00377552" w:rsidRPr="001D41A5">
              <w:rPr>
                <w:rStyle w:val="Hipervnculo"/>
                <w:rFonts w:ascii="Times New Roman" w:eastAsia="Times New Roman" w:hAnsi="Times New Roman" w:cs="Times New Roman"/>
                <w:b/>
                <w:noProof/>
              </w:rPr>
              <w:t>Normativa de 1999 y 2000</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_Toc151281948 \h </w:instrText>
            </w:r>
            <w:r w:rsidR="00377552" w:rsidRPr="001D41A5">
              <w:rPr>
                <w:noProof/>
                <w:webHidden/>
              </w:rPr>
            </w:r>
            <w:r w:rsidR="00377552" w:rsidRPr="001D41A5">
              <w:rPr>
                <w:noProof/>
                <w:webHidden/>
              </w:rPr>
              <w:fldChar w:fldCharType="separate"/>
            </w:r>
            <w:r w:rsidR="00CF0201">
              <w:rPr>
                <w:noProof/>
                <w:webHidden/>
              </w:rPr>
              <w:t>26</w:t>
            </w:r>
            <w:r w:rsidR="00377552" w:rsidRPr="001D41A5">
              <w:rPr>
                <w:noProof/>
                <w:webHidden/>
              </w:rPr>
              <w:fldChar w:fldCharType="end"/>
            </w:r>
          </w:hyperlink>
        </w:p>
        <w:p w14:paraId="6B02E52C" w14:textId="011213E2"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49" w:history="1">
            <w:r w:rsidR="00377552" w:rsidRPr="001D41A5">
              <w:rPr>
                <w:rStyle w:val="Hipervnculo"/>
                <w:rFonts w:ascii="Times New Roman" w:eastAsia="Times New Roman" w:hAnsi="Times New Roman" w:cs="Times New Roman"/>
                <w:b/>
                <w:noProof/>
              </w:rPr>
              <w:t>Resolución 22639 del 2000</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_Toc151281949 \h </w:instrText>
            </w:r>
            <w:r w:rsidR="00377552" w:rsidRPr="001D41A5">
              <w:rPr>
                <w:noProof/>
                <w:webHidden/>
              </w:rPr>
            </w:r>
            <w:r w:rsidR="00377552" w:rsidRPr="001D41A5">
              <w:rPr>
                <w:noProof/>
                <w:webHidden/>
              </w:rPr>
              <w:fldChar w:fldCharType="separate"/>
            </w:r>
            <w:r w:rsidR="00CF0201">
              <w:rPr>
                <w:noProof/>
                <w:webHidden/>
              </w:rPr>
              <w:t>28</w:t>
            </w:r>
            <w:r w:rsidR="00377552" w:rsidRPr="001D41A5">
              <w:rPr>
                <w:noProof/>
                <w:webHidden/>
              </w:rPr>
              <w:fldChar w:fldCharType="end"/>
            </w:r>
          </w:hyperlink>
        </w:p>
        <w:p w14:paraId="691EBE65" w14:textId="409D9982"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50" w:history="1">
            <w:r w:rsidR="00377552" w:rsidRPr="001D41A5">
              <w:rPr>
                <w:rStyle w:val="Hipervnculo"/>
                <w:rFonts w:ascii="Times New Roman" w:eastAsia="Times New Roman" w:hAnsi="Times New Roman" w:cs="Times New Roman"/>
                <w:b/>
                <w:noProof/>
              </w:rPr>
              <w:t>Sentencia C-1265 del 2000</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_Toc151281950 \h </w:instrText>
            </w:r>
            <w:r w:rsidR="00377552" w:rsidRPr="001D41A5">
              <w:rPr>
                <w:noProof/>
                <w:webHidden/>
              </w:rPr>
            </w:r>
            <w:r w:rsidR="00377552" w:rsidRPr="001D41A5">
              <w:rPr>
                <w:noProof/>
                <w:webHidden/>
              </w:rPr>
              <w:fldChar w:fldCharType="separate"/>
            </w:r>
            <w:r w:rsidR="00CF0201">
              <w:rPr>
                <w:noProof/>
                <w:webHidden/>
              </w:rPr>
              <w:t>29</w:t>
            </w:r>
            <w:r w:rsidR="00377552" w:rsidRPr="001D41A5">
              <w:rPr>
                <w:noProof/>
                <w:webHidden/>
              </w:rPr>
              <w:fldChar w:fldCharType="end"/>
            </w:r>
          </w:hyperlink>
        </w:p>
        <w:p w14:paraId="5B7B1ACE" w14:textId="7F286F6E"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51" w:history="1">
            <w:r w:rsidR="00377552" w:rsidRPr="001D41A5">
              <w:rPr>
                <w:rStyle w:val="Hipervnculo"/>
                <w:rFonts w:ascii="Times New Roman" w:eastAsia="Times New Roman" w:hAnsi="Times New Roman" w:cs="Times New Roman"/>
                <w:b/>
                <w:noProof/>
              </w:rPr>
              <w:t>Resolución 13314 del 2001</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_Toc151281951 \h </w:instrText>
            </w:r>
            <w:r w:rsidR="00377552" w:rsidRPr="001D41A5">
              <w:rPr>
                <w:noProof/>
                <w:webHidden/>
              </w:rPr>
            </w:r>
            <w:r w:rsidR="00377552" w:rsidRPr="001D41A5">
              <w:rPr>
                <w:noProof/>
                <w:webHidden/>
              </w:rPr>
              <w:fldChar w:fldCharType="separate"/>
            </w:r>
            <w:r w:rsidR="00CF0201">
              <w:rPr>
                <w:noProof/>
                <w:webHidden/>
              </w:rPr>
              <w:t>30</w:t>
            </w:r>
            <w:r w:rsidR="00377552" w:rsidRPr="001D41A5">
              <w:rPr>
                <w:noProof/>
                <w:webHidden/>
              </w:rPr>
              <w:fldChar w:fldCharType="end"/>
            </w:r>
          </w:hyperlink>
        </w:p>
        <w:p w14:paraId="1CC0432E" w14:textId="552E63A9"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52" w:history="1">
            <w:r w:rsidR="00377552" w:rsidRPr="001D41A5">
              <w:rPr>
                <w:rStyle w:val="Hipervnculo"/>
                <w:rFonts w:ascii="Times New Roman" w:eastAsia="Times New Roman" w:hAnsi="Times New Roman" w:cs="Times New Roman"/>
                <w:b/>
                <w:noProof/>
              </w:rPr>
              <w:t>Resolución 620 de 2008</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_Toc151281952 \h </w:instrText>
            </w:r>
            <w:r w:rsidR="00377552" w:rsidRPr="001D41A5">
              <w:rPr>
                <w:noProof/>
                <w:webHidden/>
              </w:rPr>
            </w:r>
            <w:r w:rsidR="00377552" w:rsidRPr="001D41A5">
              <w:rPr>
                <w:noProof/>
                <w:webHidden/>
              </w:rPr>
              <w:fldChar w:fldCharType="separate"/>
            </w:r>
            <w:r w:rsidR="00CF0201">
              <w:rPr>
                <w:noProof/>
                <w:webHidden/>
              </w:rPr>
              <w:t>31</w:t>
            </w:r>
            <w:r w:rsidR="00377552" w:rsidRPr="001D41A5">
              <w:rPr>
                <w:noProof/>
                <w:webHidden/>
              </w:rPr>
              <w:fldChar w:fldCharType="end"/>
            </w:r>
          </w:hyperlink>
        </w:p>
        <w:p w14:paraId="16DDF63C" w14:textId="2301E27E"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53" w:history="1">
            <w:r w:rsidR="00377552" w:rsidRPr="001D41A5">
              <w:rPr>
                <w:rStyle w:val="Hipervnculo"/>
                <w:rFonts w:ascii="Times New Roman" w:eastAsia="Times New Roman" w:hAnsi="Times New Roman" w:cs="Times New Roman"/>
                <w:b/>
                <w:noProof/>
              </w:rPr>
              <w:t>Ley 1673 de 2013</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_Toc151281953 \h </w:instrText>
            </w:r>
            <w:r w:rsidR="00377552" w:rsidRPr="001D41A5">
              <w:rPr>
                <w:noProof/>
                <w:webHidden/>
              </w:rPr>
            </w:r>
            <w:r w:rsidR="00377552" w:rsidRPr="001D41A5">
              <w:rPr>
                <w:noProof/>
                <w:webHidden/>
              </w:rPr>
              <w:fldChar w:fldCharType="separate"/>
            </w:r>
            <w:r w:rsidR="00CF0201">
              <w:rPr>
                <w:noProof/>
                <w:webHidden/>
              </w:rPr>
              <w:t>33</w:t>
            </w:r>
            <w:r w:rsidR="00377552" w:rsidRPr="001D41A5">
              <w:rPr>
                <w:noProof/>
                <w:webHidden/>
              </w:rPr>
              <w:fldChar w:fldCharType="end"/>
            </w:r>
          </w:hyperlink>
        </w:p>
        <w:p w14:paraId="5C3C09F4" w14:textId="2771945A"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54" w:history="1">
            <w:r w:rsidR="00377552" w:rsidRPr="001D41A5">
              <w:rPr>
                <w:rStyle w:val="Hipervnculo"/>
                <w:rFonts w:ascii="Times New Roman" w:eastAsia="Times New Roman" w:hAnsi="Times New Roman" w:cs="Times New Roman"/>
                <w:b/>
                <w:noProof/>
              </w:rPr>
              <w:t>Comercial</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_Toc151281954 \h </w:instrText>
            </w:r>
            <w:r w:rsidR="00377552" w:rsidRPr="001D41A5">
              <w:rPr>
                <w:noProof/>
                <w:webHidden/>
              </w:rPr>
            </w:r>
            <w:r w:rsidR="00377552" w:rsidRPr="001D41A5">
              <w:rPr>
                <w:noProof/>
                <w:webHidden/>
              </w:rPr>
              <w:fldChar w:fldCharType="separate"/>
            </w:r>
            <w:r w:rsidR="00CF0201">
              <w:rPr>
                <w:noProof/>
                <w:webHidden/>
              </w:rPr>
              <w:t>37</w:t>
            </w:r>
            <w:r w:rsidR="00377552" w:rsidRPr="001D41A5">
              <w:rPr>
                <w:noProof/>
                <w:webHidden/>
              </w:rPr>
              <w:fldChar w:fldCharType="end"/>
            </w:r>
          </w:hyperlink>
        </w:p>
        <w:p w14:paraId="0656AB4A" w14:textId="15D485E6"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55" w:history="1">
            <w:r w:rsidR="00377552" w:rsidRPr="001D41A5">
              <w:rPr>
                <w:rStyle w:val="Hipervnculo"/>
                <w:rFonts w:ascii="Times New Roman" w:eastAsia="Times New Roman" w:hAnsi="Times New Roman" w:cs="Times New Roman"/>
                <w:b/>
                <w:noProof/>
              </w:rPr>
              <w:t>Catastral</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_Toc151281955 \h </w:instrText>
            </w:r>
            <w:r w:rsidR="00377552" w:rsidRPr="001D41A5">
              <w:rPr>
                <w:noProof/>
                <w:webHidden/>
              </w:rPr>
            </w:r>
            <w:r w:rsidR="00377552" w:rsidRPr="001D41A5">
              <w:rPr>
                <w:noProof/>
                <w:webHidden/>
              </w:rPr>
              <w:fldChar w:fldCharType="separate"/>
            </w:r>
            <w:r w:rsidR="00CF0201">
              <w:rPr>
                <w:noProof/>
                <w:webHidden/>
              </w:rPr>
              <w:t>39</w:t>
            </w:r>
            <w:r w:rsidR="00377552" w:rsidRPr="001D41A5">
              <w:rPr>
                <w:noProof/>
                <w:webHidden/>
              </w:rPr>
              <w:fldChar w:fldCharType="end"/>
            </w:r>
          </w:hyperlink>
        </w:p>
        <w:p w14:paraId="45F5DA99" w14:textId="43BF2CA0"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56" w:history="1">
            <w:r w:rsidR="00377552" w:rsidRPr="001D41A5">
              <w:rPr>
                <w:rStyle w:val="Hipervnculo"/>
                <w:rFonts w:ascii="Times New Roman" w:eastAsia="Times New Roman" w:hAnsi="Times New Roman" w:cs="Times New Roman"/>
                <w:b/>
                <w:noProof/>
              </w:rPr>
              <w:t>Administrativo</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_Toc151281956 \h </w:instrText>
            </w:r>
            <w:r w:rsidR="00377552" w:rsidRPr="001D41A5">
              <w:rPr>
                <w:noProof/>
                <w:webHidden/>
              </w:rPr>
            </w:r>
            <w:r w:rsidR="00377552" w:rsidRPr="001D41A5">
              <w:rPr>
                <w:noProof/>
                <w:webHidden/>
              </w:rPr>
              <w:fldChar w:fldCharType="separate"/>
            </w:r>
            <w:r w:rsidR="00CF0201">
              <w:rPr>
                <w:noProof/>
                <w:webHidden/>
              </w:rPr>
              <w:t>41</w:t>
            </w:r>
            <w:r w:rsidR="00377552" w:rsidRPr="001D41A5">
              <w:rPr>
                <w:noProof/>
                <w:webHidden/>
              </w:rPr>
              <w:fldChar w:fldCharType="end"/>
            </w:r>
          </w:hyperlink>
        </w:p>
        <w:p w14:paraId="03CFF993" w14:textId="18320021"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57" w:history="1">
            <w:r w:rsidR="00377552" w:rsidRPr="001D41A5">
              <w:rPr>
                <w:rStyle w:val="Hipervnculo"/>
                <w:rFonts w:ascii="Times New Roman" w:eastAsia="Times New Roman" w:hAnsi="Times New Roman" w:cs="Times New Roman"/>
                <w:b/>
                <w:noProof/>
              </w:rPr>
              <w:t>Judicial</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_Toc151281957 \h </w:instrText>
            </w:r>
            <w:r w:rsidR="00377552" w:rsidRPr="001D41A5">
              <w:rPr>
                <w:noProof/>
                <w:webHidden/>
              </w:rPr>
            </w:r>
            <w:r w:rsidR="00377552" w:rsidRPr="001D41A5">
              <w:rPr>
                <w:noProof/>
                <w:webHidden/>
              </w:rPr>
              <w:fldChar w:fldCharType="separate"/>
            </w:r>
            <w:r w:rsidR="00CF0201">
              <w:rPr>
                <w:noProof/>
                <w:webHidden/>
              </w:rPr>
              <w:t>42</w:t>
            </w:r>
            <w:r w:rsidR="00377552" w:rsidRPr="001D41A5">
              <w:rPr>
                <w:noProof/>
                <w:webHidden/>
              </w:rPr>
              <w:fldChar w:fldCharType="end"/>
            </w:r>
          </w:hyperlink>
        </w:p>
        <w:p w14:paraId="5CA635A5" w14:textId="78EE5066" w:rsidR="00377552" w:rsidRPr="001D41A5" w:rsidRDefault="00000000">
          <w:pPr>
            <w:pStyle w:val="TDC2"/>
            <w:tabs>
              <w:tab w:val="right" w:leader="dot" w:pos="9030"/>
            </w:tabs>
            <w:rPr>
              <w:rFonts w:asciiTheme="minorHAnsi" w:eastAsiaTheme="minorEastAsia" w:hAnsiTheme="minorHAnsi" w:cstheme="minorBidi"/>
              <w:noProof/>
              <w:snapToGrid/>
              <w:color w:val="auto"/>
              <w:sz w:val="22"/>
              <w:szCs w:val="22"/>
            </w:rPr>
          </w:pPr>
          <w:hyperlink w:anchor="_Toc151281958" w:history="1">
            <w:r w:rsidR="00377552" w:rsidRPr="001D41A5">
              <w:rPr>
                <w:rStyle w:val="Hipervnculo"/>
                <w:rFonts w:ascii="Times New Roman" w:eastAsia="Times New Roman" w:hAnsi="Times New Roman" w:cs="Times New Roman"/>
                <w:b/>
                <w:noProof/>
              </w:rPr>
              <w:t>Auto avalúo</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_Toc151281958 \h </w:instrText>
            </w:r>
            <w:r w:rsidR="00377552" w:rsidRPr="001D41A5">
              <w:rPr>
                <w:noProof/>
                <w:webHidden/>
              </w:rPr>
            </w:r>
            <w:r w:rsidR="00377552" w:rsidRPr="001D41A5">
              <w:rPr>
                <w:noProof/>
                <w:webHidden/>
              </w:rPr>
              <w:fldChar w:fldCharType="separate"/>
            </w:r>
            <w:r w:rsidR="00CF0201">
              <w:rPr>
                <w:noProof/>
                <w:webHidden/>
              </w:rPr>
              <w:t>44</w:t>
            </w:r>
            <w:r w:rsidR="00377552" w:rsidRPr="001D41A5">
              <w:rPr>
                <w:noProof/>
                <w:webHidden/>
              </w:rPr>
              <w:fldChar w:fldCharType="end"/>
            </w:r>
          </w:hyperlink>
        </w:p>
        <w:p w14:paraId="6F64F273" w14:textId="39FB9AC3" w:rsidR="00377552" w:rsidRPr="001D41A5" w:rsidRDefault="00000000">
          <w:pPr>
            <w:pStyle w:val="TDC1"/>
            <w:tabs>
              <w:tab w:val="right" w:leader="dot" w:pos="9030"/>
            </w:tabs>
            <w:rPr>
              <w:rFonts w:asciiTheme="minorHAnsi" w:eastAsiaTheme="minorEastAsia" w:hAnsiTheme="minorHAnsi" w:cstheme="minorBidi"/>
              <w:noProof/>
              <w:snapToGrid/>
              <w:color w:val="auto"/>
              <w:sz w:val="22"/>
              <w:szCs w:val="22"/>
            </w:rPr>
          </w:pPr>
          <w:hyperlink w:anchor="_Toc151281959" w:history="1">
            <w:r w:rsidR="00377552" w:rsidRPr="001D41A5">
              <w:rPr>
                <w:rStyle w:val="Hipervnculo"/>
                <w:rFonts w:ascii="Times New Roman" w:eastAsia="Times New Roman" w:hAnsi="Times New Roman" w:cs="Times New Roman"/>
                <w:b/>
                <w:noProof/>
              </w:rPr>
              <w:t>Conclusiones</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_Toc151281959 \h </w:instrText>
            </w:r>
            <w:r w:rsidR="00377552" w:rsidRPr="001D41A5">
              <w:rPr>
                <w:noProof/>
                <w:webHidden/>
              </w:rPr>
            </w:r>
            <w:r w:rsidR="00377552" w:rsidRPr="001D41A5">
              <w:rPr>
                <w:noProof/>
                <w:webHidden/>
              </w:rPr>
              <w:fldChar w:fldCharType="separate"/>
            </w:r>
            <w:r w:rsidR="00CF0201">
              <w:rPr>
                <w:noProof/>
                <w:webHidden/>
              </w:rPr>
              <w:t>51</w:t>
            </w:r>
            <w:r w:rsidR="00377552" w:rsidRPr="001D41A5">
              <w:rPr>
                <w:noProof/>
                <w:webHidden/>
              </w:rPr>
              <w:fldChar w:fldCharType="end"/>
            </w:r>
          </w:hyperlink>
        </w:p>
        <w:p w14:paraId="0EB61B1E" w14:textId="626B1AA3" w:rsidR="00377552" w:rsidRPr="001D41A5" w:rsidRDefault="00000000">
          <w:pPr>
            <w:pStyle w:val="TDC1"/>
            <w:tabs>
              <w:tab w:val="right" w:leader="dot" w:pos="9030"/>
            </w:tabs>
            <w:rPr>
              <w:rFonts w:asciiTheme="minorHAnsi" w:eastAsiaTheme="minorEastAsia" w:hAnsiTheme="minorHAnsi" w:cstheme="minorBidi"/>
              <w:noProof/>
              <w:snapToGrid/>
              <w:color w:val="auto"/>
              <w:sz w:val="22"/>
              <w:szCs w:val="22"/>
            </w:rPr>
          </w:pPr>
          <w:hyperlink w:anchor="_Toc151281960" w:history="1">
            <w:r w:rsidR="00377552" w:rsidRPr="001D41A5">
              <w:rPr>
                <w:rStyle w:val="Hipervnculo"/>
                <w:rFonts w:ascii="Times New Roman" w:eastAsia="Times New Roman" w:hAnsi="Times New Roman" w:cs="Times New Roman"/>
                <w:b/>
                <w:noProof/>
              </w:rPr>
              <w:t>Tabla de ilustraciones</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_Toc151281960 \h </w:instrText>
            </w:r>
            <w:r w:rsidR="00377552" w:rsidRPr="001D41A5">
              <w:rPr>
                <w:noProof/>
                <w:webHidden/>
              </w:rPr>
            </w:r>
            <w:r w:rsidR="00377552" w:rsidRPr="001D41A5">
              <w:rPr>
                <w:noProof/>
                <w:webHidden/>
              </w:rPr>
              <w:fldChar w:fldCharType="separate"/>
            </w:r>
            <w:r w:rsidR="00CF0201">
              <w:rPr>
                <w:noProof/>
                <w:webHidden/>
              </w:rPr>
              <w:t>55</w:t>
            </w:r>
            <w:r w:rsidR="00377552" w:rsidRPr="001D41A5">
              <w:rPr>
                <w:noProof/>
                <w:webHidden/>
              </w:rPr>
              <w:fldChar w:fldCharType="end"/>
            </w:r>
          </w:hyperlink>
        </w:p>
        <w:p w14:paraId="7B3B12C1" w14:textId="3E927E14" w:rsidR="00377552" w:rsidRPr="001D41A5" w:rsidRDefault="00000000">
          <w:pPr>
            <w:pStyle w:val="TDC1"/>
            <w:tabs>
              <w:tab w:val="right" w:leader="dot" w:pos="9030"/>
            </w:tabs>
            <w:rPr>
              <w:rFonts w:asciiTheme="minorHAnsi" w:eastAsiaTheme="minorEastAsia" w:hAnsiTheme="minorHAnsi" w:cstheme="minorBidi"/>
              <w:noProof/>
              <w:snapToGrid/>
              <w:color w:val="auto"/>
              <w:sz w:val="22"/>
              <w:szCs w:val="22"/>
            </w:rPr>
          </w:pPr>
          <w:hyperlink w:anchor="_Toc151281961" w:history="1">
            <w:r w:rsidR="00377552" w:rsidRPr="001D41A5">
              <w:rPr>
                <w:rStyle w:val="Hipervnculo"/>
                <w:rFonts w:ascii="Times New Roman" w:eastAsia="Times New Roman" w:hAnsi="Times New Roman" w:cs="Times New Roman"/>
                <w:b/>
                <w:noProof/>
              </w:rPr>
              <w:t>Referencias</w:t>
            </w:r>
            <w:r w:rsidR="00377552" w:rsidRPr="001D41A5">
              <w:rPr>
                <w:noProof/>
                <w:webHidden/>
              </w:rPr>
              <w:tab/>
            </w:r>
            <w:r w:rsidR="00377552" w:rsidRPr="001D41A5">
              <w:rPr>
                <w:noProof/>
                <w:webHidden/>
              </w:rPr>
              <w:fldChar w:fldCharType="begin"/>
            </w:r>
            <w:r w:rsidR="00377552" w:rsidRPr="001D41A5">
              <w:rPr>
                <w:noProof/>
                <w:webHidden/>
              </w:rPr>
              <w:instrText xml:space="preserve"> PAGEREF _Toc151281961 \h </w:instrText>
            </w:r>
            <w:r w:rsidR="00377552" w:rsidRPr="001D41A5">
              <w:rPr>
                <w:noProof/>
                <w:webHidden/>
              </w:rPr>
            </w:r>
            <w:r w:rsidR="00377552" w:rsidRPr="001D41A5">
              <w:rPr>
                <w:noProof/>
                <w:webHidden/>
              </w:rPr>
              <w:fldChar w:fldCharType="separate"/>
            </w:r>
            <w:r w:rsidR="00CF0201">
              <w:rPr>
                <w:noProof/>
                <w:webHidden/>
              </w:rPr>
              <w:t>56</w:t>
            </w:r>
            <w:r w:rsidR="00377552" w:rsidRPr="001D41A5">
              <w:rPr>
                <w:noProof/>
                <w:webHidden/>
              </w:rPr>
              <w:fldChar w:fldCharType="end"/>
            </w:r>
          </w:hyperlink>
        </w:p>
        <w:p w14:paraId="7A77BD35" w14:textId="244B738C" w:rsidR="00722163" w:rsidRPr="001D41A5" w:rsidRDefault="00722163" w:rsidP="00041A10">
          <w:pPr>
            <w:ind w:firstLine="720"/>
            <w:rPr>
              <w:rFonts w:ascii="Times New Roman" w:hAnsi="Times New Roman" w:cs="Times New Roman"/>
              <w:b/>
              <w:bCs/>
              <w:sz w:val="24"/>
              <w:szCs w:val="24"/>
              <w:lang w:val="es-ES"/>
            </w:rPr>
          </w:pPr>
          <w:r w:rsidRPr="001D41A5">
            <w:rPr>
              <w:rFonts w:ascii="Times New Roman" w:hAnsi="Times New Roman" w:cs="Times New Roman"/>
              <w:b/>
              <w:bCs/>
              <w:sz w:val="24"/>
              <w:szCs w:val="24"/>
              <w:lang w:val="es-ES"/>
            </w:rPr>
            <w:fldChar w:fldCharType="end"/>
          </w:r>
        </w:p>
      </w:sdtContent>
    </w:sdt>
    <w:p w14:paraId="4819A6FA" w14:textId="72CDB1EB" w:rsidR="00041A10" w:rsidRPr="001D41A5" w:rsidRDefault="00041A10" w:rsidP="00041A10">
      <w:pPr>
        <w:ind w:firstLine="720"/>
        <w:rPr>
          <w:rFonts w:ascii="Times New Roman" w:hAnsi="Times New Roman" w:cs="Times New Roman"/>
          <w:b/>
          <w:bCs/>
          <w:sz w:val="24"/>
          <w:szCs w:val="24"/>
          <w:lang w:val="es-ES"/>
        </w:rPr>
      </w:pPr>
    </w:p>
    <w:p w14:paraId="582F755D" w14:textId="2FB64754" w:rsidR="008719E9" w:rsidRPr="001D41A5" w:rsidRDefault="008719E9" w:rsidP="00041A10">
      <w:pPr>
        <w:ind w:firstLine="720"/>
        <w:rPr>
          <w:rFonts w:ascii="Times New Roman" w:hAnsi="Times New Roman" w:cs="Times New Roman"/>
          <w:b/>
          <w:bCs/>
          <w:sz w:val="24"/>
          <w:szCs w:val="24"/>
          <w:lang w:val="es-ES"/>
        </w:rPr>
      </w:pPr>
    </w:p>
    <w:p w14:paraId="7EDB337C" w14:textId="77777777" w:rsidR="008719E9" w:rsidRPr="001D41A5" w:rsidRDefault="008719E9" w:rsidP="00041A10">
      <w:pPr>
        <w:ind w:firstLine="720"/>
        <w:rPr>
          <w:rFonts w:ascii="Times New Roman" w:hAnsi="Times New Roman" w:cs="Times New Roman"/>
          <w:b/>
          <w:bCs/>
          <w:sz w:val="24"/>
          <w:szCs w:val="24"/>
          <w:lang w:val="es-ES"/>
        </w:rPr>
      </w:pPr>
    </w:p>
    <w:p w14:paraId="340AD809" w14:textId="1F0EA4D1" w:rsidR="00041A10" w:rsidRPr="001D41A5" w:rsidRDefault="00041A10" w:rsidP="00041A10">
      <w:pPr>
        <w:ind w:firstLine="720"/>
        <w:rPr>
          <w:rFonts w:ascii="Times New Roman" w:hAnsi="Times New Roman" w:cs="Times New Roman"/>
          <w:b/>
          <w:bCs/>
          <w:sz w:val="24"/>
          <w:szCs w:val="24"/>
          <w:lang w:val="es-ES"/>
        </w:rPr>
      </w:pPr>
    </w:p>
    <w:p w14:paraId="0FD5ADB6" w14:textId="1375D30C" w:rsidR="00041A10" w:rsidRPr="001D41A5" w:rsidRDefault="00041A10" w:rsidP="00041A10">
      <w:pPr>
        <w:ind w:firstLine="720"/>
        <w:rPr>
          <w:rFonts w:ascii="Times New Roman" w:hAnsi="Times New Roman" w:cs="Times New Roman"/>
          <w:b/>
          <w:bCs/>
          <w:sz w:val="24"/>
          <w:szCs w:val="24"/>
          <w:lang w:val="es-ES"/>
        </w:rPr>
      </w:pPr>
    </w:p>
    <w:p w14:paraId="2A2E221E" w14:textId="46DF9990" w:rsidR="00041A10" w:rsidRPr="001D41A5" w:rsidRDefault="00041A10" w:rsidP="00041A10">
      <w:pPr>
        <w:ind w:firstLine="720"/>
        <w:rPr>
          <w:rFonts w:ascii="Times New Roman" w:hAnsi="Times New Roman" w:cs="Times New Roman"/>
          <w:b/>
          <w:bCs/>
          <w:sz w:val="24"/>
          <w:szCs w:val="24"/>
          <w:lang w:val="es-ES"/>
        </w:rPr>
      </w:pPr>
    </w:p>
    <w:p w14:paraId="0B12F9CA" w14:textId="77777777" w:rsidR="00041A10" w:rsidRPr="001D41A5" w:rsidRDefault="00041A10" w:rsidP="00041A10">
      <w:pPr>
        <w:ind w:firstLine="720"/>
        <w:rPr>
          <w:rFonts w:ascii="Times New Roman" w:hAnsi="Times New Roman" w:cs="Times New Roman"/>
          <w:sz w:val="24"/>
          <w:szCs w:val="24"/>
        </w:rPr>
      </w:pPr>
    </w:p>
    <w:p w14:paraId="25681F82" w14:textId="77777777" w:rsidR="00722163" w:rsidRPr="001D41A5" w:rsidRDefault="00722163" w:rsidP="00025654">
      <w:pPr>
        <w:spacing w:line="480" w:lineRule="auto"/>
        <w:rPr>
          <w:rFonts w:ascii="Times New Roman" w:hAnsi="Times New Roman" w:cs="Times New Roman"/>
          <w:sz w:val="24"/>
          <w:szCs w:val="24"/>
        </w:rPr>
      </w:pPr>
      <w:bookmarkStart w:id="0" w:name="_heading=h.fyxdrxoep4e6" w:colFirst="0" w:colLast="0"/>
      <w:bookmarkEnd w:id="0"/>
    </w:p>
    <w:p w14:paraId="18A288D6" w14:textId="77777777" w:rsidR="00377552" w:rsidRPr="001D41A5" w:rsidRDefault="00377552" w:rsidP="00025654">
      <w:pPr>
        <w:spacing w:line="480" w:lineRule="auto"/>
        <w:rPr>
          <w:rFonts w:ascii="Times New Roman" w:hAnsi="Times New Roman" w:cs="Times New Roman"/>
          <w:sz w:val="24"/>
          <w:szCs w:val="24"/>
        </w:rPr>
      </w:pPr>
    </w:p>
    <w:p w14:paraId="455B5A1E" w14:textId="60A442C6" w:rsidR="00377552" w:rsidRPr="001D41A5" w:rsidRDefault="00377552" w:rsidP="00025654">
      <w:pPr>
        <w:spacing w:line="480" w:lineRule="auto"/>
        <w:rPr>
          <w:rFonts w:ascii="Times New Roman" w:hAnsi="Times New Roman" w:cs="Times New Roman"/>
          <w:sz w:val="24"/>
          <w:szCs w:val="24"/>
        </w:rPr>
        <w:sectPr w:rsidR="00377552" w:rsidRPr="001D41A5" w:rsidSect="008719E9">
          <w:pgSz w:w="11920" w:h="16840"/>
          <w:pgMar w:top="1440" w:right="1440" w:bottom="1440" w:left="1440" w:header="0" w:footer="0" w:gutter="0"/>
          <w:cols w:space="720"/>
          <w:docGrid w:linePitch="286"/>
        </w:sectPr>
      </w:pPr>
    </w:p>
    <w:p w14:paraId="5C9D0591" w14:textId="77777777" w:rsidR="00244F7E" w:rsidRPr="001D41A5" w:rsidRDefault="00BF19B4" w:rsidP="00025654">
      <w:pPr>
        <w:pStyle w:val="Ttulo1"/>
        <w:spacing w:line="480" w:lineRule="auto"/>
        <w:ind w:firstLine="720"/>
        <w:rPr>
          <w:rFonts w:ascii="Times New Roman" w:eastAsia="Times New Roman" w:hAnsi="Times New Roman" w:cs="Times New Roman"/>
          <w:b/>
          <w:color w:val="000000"/>
          <w:sz w:val="24"/>
          <w:szCs w:val="24"/>
        </w:rPr>
      </w:pPr>
      <w:bookmarkStart w:id="1" w:name="_heading=h.gjdgxs" w:colFirst="0" w:colLast="0"/>
      <w:bookmarkStart w:id="2" w:name="_Toc151281935"/>
      <w:bookmarkEnd w:id="1"/>
      <w:r w:rsidRPr="001D41A5">
        <w:rPr>
          <w:rFonts w:ascii="Times New Roman" w:eastAsia="Times New Roman" w:hAnsi="Times New Roman" w:cs="Times New Roman"/>
          <w:b/>
          <w:color w:val="000000"/>
          <w:sz w:val="24"/>
          <w:szCs w:val="24"/>
        </w:rPr>
        <w:lastRenderedPageBreak/>
        <w:t>Resumen</w:t>
      </w:r>
      <w:bookmarkEnd w:id="2"/>
    </w:p>
    <w:p w14:paraId="0EEB6F42" w14:textId="77777777" w:rsidR="00244F7E" w:rsidRPr="001D41A5" w:rsidRDefault="00244F7E" w:rsidP="00025654">
      <w:pPr>
        <w:spacing w:before="69" w:line="480" w:lineRule="auto"/>
        <w:ind w:firstLine="720"/>
        <w:jc w:val="center"/>
        <w:rPr>
          <w:rFonts w:ascii="Times New Roman" w:eastAsia="Times New Roman" w:hAnsi="Times New Roman" w:cs="Times New Roman"/>
          <w:b/>
          <w:sz w:val="24"/>
          <w:szCs w:val="24"/>
        </w:rPr>
      </w:pPr>
    </w:p>
    <w:p w14:paraId="7917F9CF" w14:textId="77777777" w:rsidR="00244F7E" w:rsidRPr="001D41A5" w:rsidRDefault="00BF19B4" w:rsidP="00025654">
      <w:pPr>
        <w:spacing w:before="69" w:line="480" w:lineRule="auto"/>
        <w:ind w:left="6" w:right="2"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propiedad tanto pública como privada es un derecho que se fundamenta en un marco normativo que lo protege enormemente. Desde la Constitución Política expresado como derecho fundamental y principio constitucional, hasta leyes, decretos, resoluciones y sentencias de las Altas Cortes han expresado la necesidad de regular ese derecho de propiedad desde todas las aristas posibles.</w:t>
      </w:r>
    </w:p>
    <w:p w14:paraId="27D77B4D" w14:textId="77777777" w:rsidR="00244F7E" w:rsidRPr="001D41A5" w:rsidRDefault="00244F7E" w:rsidP="00025654">
      <w:pPr>
        <w:spacing w:line="480" w:lineRule="auto"/>
        <w:ind w:firstLine="720"/>
        <w:rPr>
          <w:rFonts w:ascii="Times New Roman" w:eastAsia="Times New Roman" w:hAnsi="Times New Roman" w:cs="Times New Roman"/>
          <w:sz w:val="24"/>
          <w:szCs w:val="24"/>
        </w:rPr>
      </w:pPr>
    </w:p>
    <w:p w14:paraId="10A2119E" w14:textId="798FF8DC" w:rsidR="00244F7E" w:rsidRPr="001D41A5" w:rsidRDefault="00BF19B4" w:rsidP="00025654">
      <w:pPr>
        <w:spacing w:before="69" w:line="480" w:lineRule="auto"/>
        <w:ind w:left="6" w:right="2"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 desde el reconocimiento de la propiedad privada que se da la necesidad de conocer el valor real de los bienes, incluyendo unos de los más importantes para todos los tipos de personas (naturales o jurídicas): los bienes inmuebles</w:t>
      </w:r>
      <w:r w:rsidR="00600104" w:rsidRPr="001D41A5">
        <w:rPr>
          <w:rFonts w:ascii="Times New Roman" w:eastAsia="Times New Roman" w:hAnsi="Times New Roman" w:cs="Times New Roman"/>
          <w:sz w:val="24"/>
          <w:szCs w:val="24"/>
        </w:rPr>
        <w:t xml:space="preserve"> rurales</w:t>
      </w:r>
      <w:r w:rsidRPr="001D41A5">
        <w:rPr>
          <w:rFonts w:ascii="Times New Roman" w:eastAsia="Times New Roman" w:hAnsi="Times New Roman" w:cs="Times New Roman"/>
          <w:sz w:val="24"/>
          <w:szCs w:val="24"/>
        </w:rPr>
        <w:t>.</w:t>
      </w:r>
    </w:p>
    <w:p w14:paraId="348A894E" w14:textId="77777777" w:rsidR="00244F7E" w:rsidRPr="001D41A5" w:rsidRDefault="00244F7E" w:rsidP="00025654">
      <w:pPr>
        <w:spacing w:line="480" w:lineRule="auto"/>
        <w:ind w:firstLine="720"/>
        <w:rPr>
          <w:rFonts w:ascii="Times New Roman" w:eastAsia="Times New Roman" w:hAnsi="Times New Roman" w:cs="Times New Roman"/>
          <w:sz w:val="24"/>
          <w:szCs w:val="24"/>
        </w:rPr>
      </w:pPr>
    </w:p>
    <w:p w14:paraId="41C243F0" w14:textId="77777777" w:rsidR="00244F7E" w:rsidRPr="001D41A5" w:rsidRDefault="00BF19B4" w:rsidP="00025654">
      <w:pPr>
        <w:spacing w:before="69" w:line="480" w:lineRule="auto"/>
        <w:ind w:left="6" w:right="2"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Los bienes inmuebles si bien pueden ser urbanos, también rurales, y con estos últimos existen unas diferencias puntuales que deben tenerse en cuenta al momento de valorar el bien, es decir al momento del avalúo, que realiza el avaluador. </w:t>
      </w:r>
    </w:p>
    <w:p w14:paraId="54B5166B" w14:textId="77777777" w:rsidR="00244F7E" w:rsidRPr="001D41A5" w:rsidRDefault="00244F7E" w:rsidP="00025654">
      <w:pPr>
        <w:spacing w:line="480" w:lineRule="auto"/>
        <w:ind w:firstLine="720"/>
        <w:rPr>
          <w:rFonts w:ascii="Times New Roman" w:eastAsia="Times New Roman" w:hAnsi="Times New Roman" w:cs="Times New Roman"/>
          <w:sz w:val="24"/>
          <w:szCs w:val="24"/>
        </w:rPr>
      </w:pPr>
    </w:p>
    <w:p w14:paraId="7B3EC18C" w14:textId="07E90E83" w:rsidR="0072651F" w:rsidRPr="001D41A5" w:rsidRDefault="00BF19B4" w:rsidP="00025654">
      <w:pPr>
        <w:spacing w:before="69" w:line="480" w:lineRule="auto"/>
        <w:ind w:left="6" w:right="2"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La presente investigación trae a colación </w:t>
      </w:r>
      <w:r w:rsidR="009D3CAD" w:rsidRPr="001D41A5">
        <w:rPr>
          <w:rFonts w:ascii="Times New Roman" w:eastAsia="Times New Roman" w:hAnsi="Times New Roman" w:cs="Times New Roman"/>
          <w:sz w:val="24"/>
          <w:szCs w:val="24"/>
        </w:rPr>
        <w:t>la transición normativa,</w:t>
      </w:r>
      <w:r w:rsidR="00600104" w:rsidRPr="001D41A5">
        <w:rPr>
          <w:rFonts w:ascii="Times New Roman" w:eastAsia="Times New Roman" w:hAnsi="Times New Roman" w:cs="Times New Roman"/>
          <w:sz w:val="24"/>
          <w:szCs w:val="24"/>
        </w:rPr>
        <w:t xml:space="preserve"> de</w:t>
      </w:r>
      <w:r w:rsidR="001D43F8" w:rsidRPr="001D41A5">
        <w:rPr>
          <w:rFonts w:ascii="Times New Roman" w:eastAsia="Times New Roman" w:hAnsi="Times New Roman" w:cs="Times New Roman"/>
          <w:sz w:val="24"/>
          <w:szCs w:val="24"/>
        </w:rPr>
        <w:t xml:space="preserve"> </w:t>
      </w:r>
      <w:r w:rsidR="009D3CAD" w:rsidRPr="001D41A5">
        <w:rPr>
          <w:rFonts w:ascii="Times New Roman" w:eastAsia="Times New Roman" w:hAnsi="Times New Roman" w:cs="Times New Roman"/>
          <w:sz w:val="24"/>
          <w:szCs w:val="24"/>
        </w:rPr>
        <w:t xml:space="preserve">lo que se requiere para </w:t>
      </w:r>
      <w:r w:rsidR="00C3712A" w:rsidRPr="001D41A5">
        <w:rPr>
          <w:rFonts w:ascii="Times New Roman" w:eastAsia="Times New Roman" w:hAnsi="Times New Roman" w:cs="Times New Roman"/>
          <w:sz w:val="24"/>
          <w:szCs w:val="24"/>
        </w:rPr>
        <w:t>desempeñarse</w:t>
      </w:r>
      <w:r w:rsidR="009D3CAD" w:rsidRPr="001D41A5">
        <w:rPr>
          <w:rFonts w:ascii="Times New Roman" w:eastAsia="Times New Roman" w:hAnsi="Times New Roman" w:cs="Times New Roman"/>
          <w:sz w:val="24"/>
          <w:szCs w:val="24"/>
        </w:rPr>
        <w:t xml:space="preserve"> como avaluador </w:t>
      </w:r>
      <w:r w:rsidR="00C3712A" w:rsidRPr="001D41A5">
        <w:rPr>
          <w:rFonts w:ascii="Times New Roman" w:eastAsia="Times New Roman" w:hAnsi="Times New Roman" w:cs="Times New Roman"/>
          <w:sz w:val="24"/>
          <w:szCs w:val="24"/>
        </w:rPr>
        <w:t>en categoría rural</w:t>
      </w:r>
      <w:r w:rsidR="000C7DD5" w:rsidRPr="001D41A5">
        <w:rPr>
          <w:rFonts w:ascii="Times New Roman" w:eastAsia="Times New Roman" w:hAnsi="Times New Roman" w:cs="Times New Roman"/>
          <w:sz w:val="24"/>
          <w:szCs w:val="24"/>
        </w:rPr>
        <w:t>.</w:t>
      </w:r>
      <w:r w:rsidR="00600104" w:rsidRPr="001D41A5">
        <w:rPr>
          <w:rFonts w:ascii="Times New Roman" w:eastAsia="Times New Roman" w:hAnsi="Times New Roman" w:cs="Times New Roman"/>
          <w:sz w:val="24"/>
          <w:szCs w:val="24"/>
        </w:rPr>
        <w:t xml:space="preserve"> </w:t>
      </w:r>
      <w:r w:rsidR="000C7DD5" w:rsidRPr="001D41A5">
        <w:rPr>
          <w:rFonts w:ascii="Times New Roman" w:eastAsia="Times New Roman" w:hAnsi="Times New Roman" w:cs="Times New Roman"/>
          <w:sz w:val="24"/>
          <w:szCs w:val="24"/>
        </w:rPr>
        <w:t>T</w:t>
      </w:r>
      <w:r w:rsidR="00600104" w:rsidRPr="001D41A5">
        <w:rPr>
          <w:rFonts w:ascii="Times New Roman" w:eastAsia="Times New Roman" w:hAnsi="Times New Roman" w:cs="Times New Roman"/>
          <w:sz w:val="24"/>
          <w:szCs w:val="24"/>
        </w:rPr>
        <w:t xml:space="preserve">ambién </w:t>
      </w:r>
      <w:bookmarkStart w:id="3" w:name="_Hlk150343817"/>
      <w:r w:rsidR="000C7DD5" w:rsidRPr="001D41A5">
        <w:rPr>
          <w:rFonts w:ascii="Times New Roman" w:eastAsia="Times New Roman" w:hAnsi="Times New Roman" w:cs="Times New Roman"/>
          <w:sz w:val="24"/>
          <w:szCs w:val="24"/>
        </w:rPr>
        <w:t xml:space="preserve">se realiza una </w:t>
      </w:r>
      <w:r w:rsidR="00C3712A" w:rsidRPr="001D41A5">
        <w:rPr>
          <w:rFonts w:ascii="Times New Roman" w:eastAsia="Times New Roman" w:hAnsi="Times New Roman" w:cs="Times New Roman"/>
          <w:sz w:val="24"/>
          <w:szCs w:val="24"/>
        </w:rPr>
        <w:t>diferenciación de algunos tipos de avalúo</w:t>
      </w:r>
      <w:r w:rsidR="00841599" w:rsidRPr="001D41A5">
        <w:rPr>
          <w:rFonts w:ascii="Times New Roman" w:eastAsia="Times New Roman" w:hAnsi="Times New Roman" w:cs="Times New Roman"/>
          <w:sz w:val="24"/>
          <w:szCs w:val="24"/>
        </w:rPr>
        <w:t xml:space="preserve"> que hace mención la norma</w:t>
      </w:r>
      <w:bookmarkEnd w:id="3"/>
      <w:r w:rsidR="000C7DD5" w:rsidRPr="001D41A5">
        <w:rPr>
          <w:rFonts w:ascii="Times New Roman" w:eastAsia="Times New Roman" w:hAnsi="Times New Roman" w:cs="Times New Roman"/>
          <w:sz w:val="24"/>
          <w:szCs w:val="24"/>
        </w:rPr>
        <w:t>,</w:t>
      </w:r>
      <w:r w:rsidR="001D43F8" w:rsidRPr="001D41A5">
        <w:rPr>
          <w:rFonts w:ascii="Times New Roman" w:eastAsia="Times New Roman" w:hAnsi="Times New Roman" w:cs="Times New Roman"/>
          <w:sz w:val="24"/>
          <w:szCs w:val="24"/>
        </w:rPr>
        <w:t xml:space="preserve"> </w:t>
      </w:r>
      <w:r w:rsidR="000C7DD5" w:rsidRPr="001D41A5">
        <w:rPr>
          <w:rFonts w:ascii="Times New Roman" w:eastAsia="Times New Roman" w:hAnsi="Times New Roman" w:cs="Times New Roman"/>
          <w:sz w:val="24"/>
          <w:szCs w:val="24"/>
        </w:rPr>
        <w:t>a</w:t>
      </w:r>
      <w:r w:rsidR="001D43F8" w:rsidRPr="001D41A5">
        <w:rPr>
          <w:rFonts w:ascii="Times New Roman" w:eastAsia="Times New Roman" w:hAnsi="Times New Roman" w:cs="Times New Roman"/>
          <w:sz w:val="24"/>
          <w:szCs w:val="24"/>
        </w:rPr>
        <w:t xml:space="preserve">demás de </w:t>
      </w:r>
      <w:bookmarkStart w:id="4" w:name="_Hlk150343857"/>
      <w:r w:rsidR="001D43F8" w:rsidRPr="001D41A5">
        <w:rPr>
          <w:rFonts w:ascii="Times New Roman" w:eastAsia="Times New Roman" w:hAnsi="Times New Roman" w:cs="Times New Roman"/>
          <w:sz w:val="24"/>
          <w:szCs w:val="24"/>
        </w:rPr>
        <w:t xml:space="preserve">mencionar los </w:t>
      </w:r>
      <w:bookmarkStart w:id="5" w:name="_Hlk150342650"/>
      <w:r w:rsidR="001D43F8" w:rsidRPr="001D41A5">
        <w:rPr>
          <w:rFonts w:ascii="Times New Roman" w:eastAsia="Times New Roman" w:hAnsi="Times New Roman" w:cs="Times New Roman"/>
          <w:sz w:val="24"/>
          <w:szCs w:val="24"/>
        </w:rPr>
        <w:t xml:space="preserve">conocimientos específicos y técnicos </w:t>
      </w:r>
      <w:bookmarkEnd w:id="5"/>
      <w:r w:rsidR="001D43F8" w:rsidRPr="001D41A5">
        <w:rPr>
          <w:rFonts w:ascii="Times New Roman" w:eastAsia="Times New Roman" w:hAnsi="Times New Roman" w:cs="Times New Roman"/>
          <w:sz w:val="24"/>
          <w:szCs w:val="24"/>
        </w:rPr>
        <w:t>que debería tener un avaluador de predios rurales</w:t>
      </w:r>
      <w:r w:rsidR="00600104" w:rsidRPr="001D41A5">
        <w:rPr>
          <w:rFonts w:ascii="Times New Roman" w:eastAsia="Times New Roman" w:hAnsi="Times New Roman" w:cs="Times New Roman"/>
          <w:sz w:val="24"/>
          <w:szCs w:val="24"/>
        </w:rPr>
        <w:t xml:space="preserve"> de</w:t>
      </w:r>
      <w:r w:rsidR="00841599" w:rsidRPr="001D41A5">
        <w:rPr>
          <w:rFonts w:ascii="Times New Roman" w:eastAsia="Times New Roman" w:hAnsi="Times New Roman" w:cs="Times New Roman"/>
          <w:sz w:val="24"/>
          <w:szCs w:val="24"/>
        </w:rPr>
        <w:t xml:space="preserve"> </w:t>
      </w:r>
      <w:bookmarkEnd w:id="4"/>
      <w:r w:rsidR="00841599" w:rsidRPr="001D41A5">
        <w:rPr>
          <w:rFonts w:ascii="Times New Roman" w:eastAsia="Times New Roman" w:hAnsi="Times New Roman" w:cs="Times New Roman"/>
          <w:sz w:val="24"/>
          <w:szCs w:val="24"/>
        </w:rPr>
        <w:t>los cuales existe</w:t>
      </w:r>
      <w:r w:rsidR="00067017" w:rsidRPr="001D41A5">
        <w:rPr>
          <w:rFonts w:ascii="Times New Roman" w:eastAsia="Times New Roman" w:hAnsi="Times New Roman" w:cs="Times New Roman"/>
          <w:sz w:val="24"/>
          <w:szCs w:val="24"/>
        </w:rPr>
        <w:t xml:space="preserve"> una gran diferencia respecto a otros tipos de avalúos.</w:t>
      </w:r>
    </w:p>
    <w:p w14:paraId="12DE5B09" w14:textId="77777777" w:rsidR="00025654" w:rsidRPr="001D41A5" w:rsidRDefault="00025654" w:rsidP="00025654">
      <w:pPr>
        <w:spacing w:before="69" w:line="480" w:lineRule="auto"/>
        <w:ind w:left="6" w:right="2" w:firstLine="720"/>
        <w:jc w:val="both"/>
        <w:rPr>
          <w:rFonts w:ascii="Times New Roman" w:eastAsia="Times New Roman" w:hAnsi="Times New Roman" w:cs="Times New Roman"/>
          <w:sz w:val="24"/>
          <w:szCs w:val="24"/>
        </w:rPr>
      </w:pPr>
    </w:p>
    <w:p w14:paraId="76137541" w14:textId="515F33BF" w:rsidR="00025654" w:rsidRPr="001D41A5" w:rsidRDefault="00BF19B4" w:rsidP="00F445D9">
      <w:pPr>
        <w:spacing w:before="69" w:line="480" w:lineRule="auto"/>
        <w:ind w:left="6" w:right="2" w:firstLine="720"/>
        <w:jc w:val="both"/>
        <w:rPr>
          <w:rFonts w:ascii="Times New Roman" w:eastAsia="Times New Roman" w:hAnsi="Times New Roman" w:cs="Times New Roman"/>
          <w:i/>
          <w:sz w:val="24"/>
          <w:szCs w:val="24"/>
        </w:rPr>
      </w:pPr>
      <w:r w:rsidRPr="001D41A5">
        <w:rPr>
          <w:rFonts w:ascii="Times New Roman" w:eastAsia="Times New Roman" w:hAnsi="Times New Roman" w:cs="Times New Roman"/>
          <w:b/>
          <w:sz w:val="24"/>
          <w:szCs w:val="24"/>
        </w:rPr>
        <w:t>Palabras clave:</w:t>
      </w:r>
      <w:r w:rsidRPr="001D41A5">
        <w:rPr>
          <w:rFonts w:ascii="Times New Roman" w:eastAsia="Times New Roman" w:hAnsi="Times New Roman" w:cs="Times New Roman"/>
          <w:sz w:val="24"/>
          <w:szCs w:val="24"/>
        </w:rPr>
        <w:t xml:space="preserve"> </w:t>
      </w:r>
      <w:r w:rsidRPr="001D41A5">
        <w:rPr>
          <w:rFonts w:ascii="Times New Roman" w:eastAsia="Times New Roman" w:hAnsi="Times New Roman" w:cs="Times New Roman"/>
          <w:i/>
          <w:sz w:val="24"/>
          <w:szCs w:val="24"/>
        </w:rPr>
        <w:t>avalúo; inmueble rural; derecho urbano; derecho administrativo; derecho constitucional; derecho de propiedad.</w:t>
      </w:r>
    </w:p>
    <w:p w14:paraId="5C52FDE6" w14:textId="68988E60" w:rsidR="00025654" w:rsidRPr="001D41A5" w:rsidRDefault="00025654" w:rsidP="00F445D9">
      <w:pPr>
        <w:pStyle w:val="Ttulo1"/>
        <w:rPr>
          <w:rFonts w:ascii="Times New Roman" w:eastAsia="Times New Roman" w:hAnsi="Times New Roman" w:cs="Times New Roman"/>
          <w:b/>
          <w:bCs/>
          <w:iCs/>
          <w:color w:val="auto"/>
          <w:sz w:val="24"/>
          <w:szCs w:val="24"/>
          <w:lang w:val="en-US"/>
        </w:rPr>
      </w:pPr>
      <w:bookmarkStart w:id="6" w:name="_Toc151281936"/>
      <w:r w:rsidRPr="001D41A5">
        <w:rPr>
          <w:rFonts w:ascii="Times New Roman" w:eastAsia="Times New Roman" w:hAnsi="Times New Roman" w:cs="Times New Roman"/>
          <w:b/>
          <w:bCs/>
          <w:iCs/>
          <w:color w:val="auto"/>
          <w:sz w:val="24"/>
          <w:szCs w:val="24"/>
          <w:lang w:val="en-US"/>
        </w:rPr>
        <w:lastRenderedPageBreak/>
        <w:t>Abstract</w:t>
      </w:r>
      <w:bookmarkEnd w:id="6"/>
    </w:p>
    <w:p w14:paraId="3F9ADCC1" w14:textId="77777777" w:rsidR="00025654" w:rsidRPr="001D41A5" w:rsidRDefault="00025654" w:rsidP="00025654">
      <w:pPr>
        <w:spacing w:before="69" w:line="480" w:lineRule="auto"/>
        <w:ind w:left="6" w:right="2" w:firstLine="720"/>
        <w:jc w:val="both"/>
        <w:rPr>
          <w:rFonts w:ascii="Times New Roman" w:eastAsia="Times New Roman" w:hAnsi="Times New Roman" w:cs="Times New Roman"/>
          <w:b/>
          <w:bCs/>
          <w:iCs/>
          <w:sz w:val="24"/>
          <w:szCs w:val="24"/>
          <w:lang w:val="en-US"/>
        </w:rPr>
      </w:pPr>
    </w:p>
    <w:p w14:paraId="64C6FD0C" w14:textId="663D64DA" w:rsidR="00025654" w:rsidRPr="001D41A5" w:rsidRDefault="00025654" w:rsidP="00025654">
      <w:pPr>
        <w:spacing w:before="69" w:line="480" w:lineRule="auto"/>
        <w:ind w:left="6" w:right="2" w:firstLine="720"/>
        <w:jc w:val="both"/>
        <w:rPr>
          <w:rFonts w:ascii="Times New Roman" w:eastAsia="Times New Roman" w:hAnsi="Times New Roman" w:cs="Times New Roman"/>
          <w:iCs/>
          <w:sz w:val="24"/>
          <w:szCs w:val="24"/>
          <w:lang w:val="en-US"/>
        </w:rPr>
      </w:pPr>
      <w:r w:rsidRPr="001D41A5">
        <w:rPr>
          <w:rFonts w:ascii="Times New Roman" w:eastAsia="Times New Roman" w:hAnsi="Times New Roman" w:cs="Times New Roman"/>
          <w:iCs/>
          <w:sz w:val="24"/>
          <w:szCs w:val="24"/>
          <w:lang w:val="en-US"/>
        </w:rPr>
        <w:t>Both public and private property ownership is a right founded upon a regulatory framework that greatly safeguards it. From the Political Constitution expressed as a fundamental right and constitutional principle to laws, decrees, resolutions, and judgments from High Courts, there has been an expressed need to regulate this property right from all possible perspectives.</w:t>
      </w:r>
    </w:p>
    <w:p w14:paraId="40E69797" w14:textId="77777777" w:rsidR="00025654" w:rsidRPr="001D41A5" w:rsidRDefault="00025654" w:rsidP="00025654">
      <w:pPr>
        <w:spacing w:before="69" w:line="480" w:lineRule="auto"/>
        <w:ind w:left="6" w:right="2" w:firstLine="720"/>
        <w:jc w:val="both"/>
        <w:rPr>
          <w:rFonts w:ascii="Times New Roman" w:eastAsia="Times New Roman" w:hAnsi="Times New Roman" w:cs="Times New Roman"/>
          <w:iCs/>
          <w:sz w:val="24"/>
          <w:szCs w:val="24"/>
          <w:lang w:val="en-US"/>
        </w:rPr>
      </w:pPr>
    </w:p>
    <w:p w14:paraId="69525AB6" w14:textId="77777777" w:rsidR="00025654" w:rsidRPr="001D41A5" w:rsidRDefault="00025654" w:rsidP="00025654">
      <w:pPr>
        <w:spacing w:before="69" w:line="480" w:lineRule="auto"/>
        <w:ind w:left="6" w:right="2" w:firstLine="720"/>
        <w:jc w:val="both"/>
        <w:rPr>
          <w:rFonts w:ascii="Times New Roman" w:eastAsia="Times New Roman" w:hAnsi="Times New Roman" w:cs="Times New Roman"/>
          <w:iCs/>
          <w:sz w:val="24"/>
          <w:szCs w:val="24"/>
          <w:lang w:val="en-US"/>
        </w:rPr>
      </w:pPr>
      <w:r w:rsidRPr="001D41A5">
        <w:rPr>
          <w:rFonts w:ascii="Times New Roman" w:eastAsia="Times New Roman" w:hAnsi="Times New Roman" w:cs="Times New Roman"/>
          <w:iCs/>
          <w:sz w:val="24"/>
          <w:szCs w:val="24"/>
          <w:lang w:val="en-US"/>
        </w:rPr>
        <w:t>It is from the recognition of private property that the need arises to determine the real value of assets, including one of the most significant for all types of individuals (natural or legal): rural real estate.</w:t>
      </w:r>
    </w:p>
    <w:p w14:paraId="176EF6AD" w14:textId="77777777" w:rsidR="00025654" w:rsidRPr="001D41A5" w:rsidRDefault="00025654" w:rsidP="00025654">
      <w:pPr>
        <w:spacing w:before="69" w:line="480" w:lineRule="auto"/>
        <w:ind w:left="6" w:right="2" w:firstLine="720"/>
        <w:jc w:val="both"/>
        <w:rPr>
          <w:rFonts w:ascii="Times New Roman" w:eastAsia="Times New Roman" w:hAnsi="Times New Roman" w:cs="Times New Roman"/>
          <w:iCs/>
          <w:sz w:val="24"/>
          <w:szCs w:val="24"/>
          <w:lang w:val="en-US"/>
        </w:rPr>
      </w:pPr>
    </w:p>
    <w:p w14:paraId="16F9F64F" w14:textId="77777777" w:rsidR="00025654" w:rsidRPr="001D41A5" w:rsidRDefault="00025654" w:rsidP="00025654">
      <w:pPr>
        <w:spacing w:before="69" w:line="480" w:lineRule="auto"/>
        <w:ind w:left="6" w:right="2" w:firstLine="720"/>
        <w:jc w:val="both"/>
        <w:rPr>
          <w:rFonts w:ascii="Times New Roman" w:eastAsia="Times New Roman" w:hAnsi="Times New Roman" w:cs="Times New Roman"/>
          <w:iCs/>
          <w:sz w:val="24"/>
          <w:szCs w:val="24"/>
          <w:lang w:val="en-US"/>
        </w:rPr>
      </w:pPr>
      <w:r w:rsidRPr="001D41A5">
        <w:rPr>
          <w:rFonts w:ascii="Times New Roman" w:eastAsia="Times New Roman" w:hAnsi="Times New Roman" w:cs="Times New Roman"/>
          <w:iCs/>
          <w:sz w:val="24"/>
          <w:szCs w:val="24"/>
          <w:lang w:val="en-US"/>
        </w:rPr>
        <w:t>While real estate can be urban, it can also be rural, and with the latter, there are specific differences that must be taken into account when assessing the property, that is, during the appraisal conducted by the appraiser.</w:t>
      </w:r>
    </w:p>
    <w:p w14:paraId="0E6AF5AA" w14:textId="77777777" w:rsidR="00025654" w:rsidRPr="001D41A5" w:rsidRDefault="00025654" w:rsidP="00025654">
      <w:pPr>
        <w:spacing w:before="69" w:line="480" w:lineRule="auto"/>
        <w:ind w:left="6" w:right="2" w:firstLine="720"/>
        <w:jc w:val="both"/>
        <w:rPr>
          <w:rFonts w:ascii="Times New Roman" w:eastAsia="Times New Roman" w:hAnsi="Times New Roman" w:cs="Times New Roman"/>
          <w:iCs/>
          <w:sz w:val="24"/>
          <w:szCs w:val="24"/>
          <w:lang w:val="en-US"/>
        </w:rPr>
      </w:pPr>
    </w:p>
    <w:p w14:paraId="385F40BE" w14:textId="77777777" w:rsidR="00025654" w:rsidRPr="001D41A5" w:rsidRDefault="00025654" w:rsidP="00025654">
      <w:pPr>
        <w:spacing w:before="69" w:line="480" w:lineRule="auto"/>
        <w:ind w:left="6" w:right="2" w:firstLine="720"/>
        <w:jc w:val="both"/>
        <w:rPr>
          <w:rFonts w:ascii="Times New Roman" w:eastAsia="Times New Roman" w:hAnsi="Times New Roman" w:cs="Times New Roman"/>
          <w:iCs/>
          <w:sz w:val="24"/>
          <w:szCs w:val="24"/>
          <w:lang w:val="en-US"/>
        </w:rPr>
      </w:pPr>
      <w:r w:rsidRPr="001D41A5">
        <w:rPr>
          <w:rFonts w:ascii="Times New Roman" w:eastAsia="Times New Roman" w:hAnsi="Times New Roman" w:cs="Times New Roman"/>
          <w:iCs/>
          <w:sz w:val="24"/>
          <w:szCs w:val="24"/>
          <w:lang w:val="en-US"/>
        </w:rPr>
        <w:t>This research brings to light the normative transition regarding what is required to work as an appraiser in the rural category. It also differentiates between certain types of appraisals mentioned in the regulations, in addition to highlighting the specific technical knowledge that a rural property appraiser should possess, which differs greatly from other types of appraisals.</w:t>
      </w:r>
    </w:p>
    <w:p w14:paraId="39438587" w14:textId="77777777" w:rsidR="00025654" w:rsidRPr="001D41A5" w:rsidRDefault="00025654" w:rsidP="00025654">
      <w:pPr>
        <w:spacing w:before="69" w:line="480" w:lineRule="auto"/>
        <w:ind w:left="6" w:right="2" w:firstLine="720"/>
        <w:jc w:val="both"/>
        <w:rPr>
          <w:rFonts w:ascii="Times New Roman" w:eastAsia="Times New Roman" w:hAnsi="Times New Roman" w:cs="Times New Roman"/>
          <w:iCs/>
          <w:sz w:val="24"/>
          <w:szCs w:val="24"/>
          <w:lang w:val="en-US"/>
        </w:rPr>
      </w:pPr>
    </w:p>
    <w:p w14:paraId="24534D3E" w14:textId="4C510937" w:rsidR="00025654" w:rsidRPr="001D41A5" w:rsidRDefault="00025654" w:rsidP="00F445D9">
      <w:pPr>
        <w:spacing w:before="69" w:line="480" w:lineRule="auto"/>
        <w:ind w:left="6" w:right="2" w:firstLine="720"/>
        <w:jc w:val="both"/>
        <w:rPr>
          <w:rFonts w:ascii="Times New Roman" w:eastAsia="Times New Roman" w:hAnsi="Times New Roman" w:cs="Times New Roman"/>
          <w:iCs/>
          <w:sz w:val="24"/>
          <w:szCs w:val="24"/>
          <w:lang w:val="en-US"/>
        </w:rPr>
      </w:pPr>
      <w:r w:rsidRPr="001D41A5">
        <w:rPr>
          <w:rFonts w:ascii="Times New Roman" w:eastAsia="Times New Roman" w:hAnsi="Times New Roman" w:cs="Times New Roman"/>
          <w:b/>
          <w:bCs/>
          <w:iCs/>
          <w:sz w:val="24"/>
          <w:szCs w:val="24"/>
          <w:lang w:val="en-US"/>
        </w:rPr>
        <w:t>Keywords:</w:t>
      </w:r>
      <w:r w:rsidRPr="001D41A5">
        <w:rPr>
          <w:rFonts w:ascii="Times New Roman" w:eastAsia="Times New Roman" w:hAnsi="Times New Roman" w:cs="Times New Roman"/>
          <w:iCs/>
          <w:sz w:val="24"/>
          <w:szCs w:val="24"/>
          <w:lang w:val="en-US"/>
        </w:rPr>
        <w:t xml:space="preserve"> appraisal; rural property; urban law; administrative law; constitutional law; property rights.</w:t>
      </w:r>
    </w:p>
    <w:p w14:paraId="73E6E656" w14:textId="77777777" w:rsidR="00244F7E" w:rsidRPr="001D41A5" w:rsidRDefault="00BF19B4" w:rsidP="00025654">
      <w:pPr>
        <w:pStyle w:val="Ttulo1"/>
        <w:spacing w:line="480" w:lineRule="auto"/>
        <w:ind w:firstLine="720"/>
        <w:rPr>
          <w:rFonts w:ascii="Times New Roman" w:eastAsia="Times New Roman" w:hAnsi="Times New Roman" w:cs="Times New Roman"/>
          <w:b/>
          <w:sz w:val="24"/>
          <w:szCs w:val="24"/>
        </w:rPr>
      </w:pPr>
      <w:bookmarkStart w:id="7" w:name="_heading=h.30j0zll" w:colFirst="0" w:colLast="0"/>
      <w:bookmarkStart w:id="8" w:name="_Toc151281937"/>
      <w:bookmarkEnd w:id="7"/>
      <w:r w:rsidRPr="001D41A5">
        <w:rPr>
          <w:rFonts w:ascii="Times New Roman" w:eastAsia="Times New Roman" w:hAnsi="Times New Roman" w:cs="Times New Roman"/>
          <w:b/>
          <w:color w:val="000000"/>
          <w:sz w:val="24"/>
          <w:szCs w:val="24"/>
        </w:rPr>
        <w:lastRenderedPageBreak/>
        <w:t>Introducción</w:t>
      </w:r>
      <w:bookmarkEnd w:id="8"/>
    </w:p>
    <w:p w14:paraId="7C1F545E"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58F4A657" w14:textId="3DDF51E4" w:rsidR="00244F7E" w:rsidRPr="001D41A5" w:rsidRDefault="00BF19B4" w:rsidP="00025654">
      <w:pPr>
        <w:spacing w:before="69" w:line="480" w:lineRule="auto"/>
        <w:ind w:left="6" w:right="2"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Esta investigación se justifica, entre otros motivos, por la necesidad de esclarecer características dife</w:t>
      </w:r>
      <w:r w:rsidR="007B7023" w:rsidRPr="001D41A5">
        <w:rPr>
          <w:rFonts w:ascii="Times New Roman" w:eastAsia="Times New Roman" w:hAnsi="Times New Roman" w:cs="Times New Roman"/>
          <w:sz w:val="24"/>
          <w:szCs w:val="24"/>
        </w:rPr>
        <w:t>renciales</w:t>
      </w:r>
      <w:r w:rsidR="00DB3222" w:rsidRPr="001D41A5">
        <w:rPr>
          <w:rFonts w:ascii="Times New Roman" w:eastAsia="Times New Roman" w:hAnsi="Times New Roman" w:cs="Times New Roman"/>
          <w:sz w:val="24"/>
          <w:szCs w:val="24"/>
        </w:rPr>
        <w:t xml:space="preserve"> que tiene la realización de un avalúo rural</w:t>
      </w:r>
      <w:r w:rsidR="00BB01B7" w:rsidRPr="001D41A5">
        <w:rPr>
          <w:rFonts w:ascii="Times New Roman" w:eastAsia="Times New Roman" w:hAnsi="Times New Roman" w:cs="Times New Roman"/>
          <w:sz w:val="24"/>
          <w:szCs w:val="24"/>
        </w:rPr>
        <w:t>, frente a otras profesiones</w:t>
      </w:r>
      <w:r w:rsidR="00F0720B" w:rsidRPr="001D41A5">
        <w:rPr>
          <w:rFonts w:ascii="Times New Roman" w:eastAsia="Times New Roman" w:hAnsi="Times New Roman" w:cs="Times New Roman"/>
          <w:sz w:val="24"/>
          <w:szCs w:val="24"/>
        </w:rPr>
        <w:t xml:space="preserve"> </w:t>
      </w:r>
      <w:r w:rsidR="00141677" w:rsidRPr="001D41A5">
        <w:rPr>
          <w:rFonts w:ascii="Times New Roman" w:eastAsia="Times New Roman" w:hAnsi="Times New Roman" w:cs="Times New Roman"/>
          <w:sz w:val="24"/>
          <w:szCs w:val="24"/>
        </w:rPr>
        <w:t xml:space="preserve">con las </w:t>
      </w:r>
      <w:r w:rsidR="00F0720B" w:rsidRPr="001D41A5">
        <w:rPr>
          <w:rFonts w:ascii="Times New Roman" w:eastAsia="Times New Roman" w:hAnsi="Times New Roman" w:cs="Times New Roman"/>
          <w:sz w:val="24"/>
          <w:szCs w:val="24"/>
        </w:rPr>
        <w:t>que</w:t>
      </w:r>
      <w:r w:rsidR="00BB01B7" w:rsidRPr="001D41A5">
        <w:rPr>
          <w:rFonts w:ascii="Times New Roman" w:eastAsia="Times New Roman" w:hAnsi="Times New Roman" w:cs="Times New Roman"/>
          <w:sz w:val="24"/>
          <w:szCs w:val="24"/>
        </w:rPr>
        <w:t xml:space="preserve"> suele </w:t>
      </w:r>
      <w:r w:rsidR="00F0720B" w:rsidRPr="001D41A5">
        <w:rPr>
          <w:rFonts w:ascii="Times New Roman" w:eastAsia="Times New Roman" w:hAnsi="Times New Roman" w:cs="Times New Roman"/>
          <w:sz w:val="24"/>
          <w:szCs w:val="24"/>
        </w:rPr>
        <w:t>confundirse, como</w:t>
      </w:r>
      <w:r w:rsidRPr="001D41A5">
        <w:rPr>
          <w:rFonts w:ascii="Times New Roman" w:eastAsia="Times New Roman" w:hAnsi="Times New Roman" w:cs="Times New Roman"/>
          <w:sz w:val="24"/>
          <w:szCs w:val="24"/>
        </w:rPr>
        <w:t xml:space="preserve"> la ingeniería civil</w:t>
      </w:r>
      <w:r w:rsidR="00BB01B7" w:rsidRPr="001D41A5">
        <w:rPr>
          <w:rFonts w:ascii="Times New Roman" w:eastAsia="Times New Roman" w:hAnsi="Times New Roman" w:cs="Times New Roman"/>
          <w:sz w:val="24"/>
          <w:szCs w:val="24"/>
        </w:rPr>
        <w:t xml:space="preserve">, </w:t>
      </w:r>
      <w:r w:rsidRPr="001D41A5">
        <w:rPr>
          <w:rFonts w:ascii="Times New Roman" w:eastAsia="Times New Roman" w:hAnsi="Times New Roman" w:cs="Times New Roman"/>
          <w:sz w:val="24"/>
          <w:szCs w:val="24"/>
        </w:rPr>
        <w:t>la arquitectura</w:t>
      </w:r>
      <w:r w:rsidR="00F0720B" w:rsidRPr="001D41A5">
        <w:rPr>
          <w:rFonts w:ascii="Times New Roman" w:eastAsia="Times New Roman" w:hAnsi="Times New Roman" w:cs="Times New Roman"/>
          <w:sz w:val="24"/>
          <w:szCs w:val="24"/>
        </w:rPr>
        <w:t>, la agronomía, entre otras.</w:t>
      </w:r>
    </w:p>
    <w:p w14:paraId="3C9E2BC0"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19B119B2" w14:textId="11B9A60A" w:rsidR="00244F7E" w:rsidRPr="001D41A5" w:rsidRDefault="00BF19B4" w:rsidP="00025654">
      <w:pPr>
        <w:spacing w:before="68" w:line="480" w:lineRule="auto"/>
        <w:ind w:right="4"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Realizar un estudio cronológico de cuáles han sido las directrices impartidas por las instituciones   y   organismos   dedicados   a   estructurar   todo   el   andamiaje   normativo   y metodológico de la actividad del avaluador, y específicamente de los requisitos técnicos, académicos y empíricos que se le deben exigir hoy en día a los avaluadores en las diferentes categorías para ser registrados en el Registro Abierto de Avaluadores, o conocido por sus siglas RAA.</w:t>
      </w:r>
    </w:p>
    <w:p w14:paraId="1A237D24" w14:textId="77777777" w:rsidR="007B35AA" w:rsidRPr="001D41A5" w:rsidRDefault="007B35AA" w:rsidP="00025654">
      <w:pPr>
        <w:spacing w:before="68" w:line="480" w:lineRule="auto"/>
        <w:ind w:right="4" w:firstLine="720"/>
        <w:jc w:val="both"/>
        <w:rPr>
          <w:rFonts w:ascii="Times New Roman" w:eastAsia="Times New Roman" w:hAnsi="Times New Roman" w:cs="Times New Roman"/>
          <w:sz w:val="24"/>
          <w:szCs w:val="24"/>
        </w:rPr>
      </w:pPr>
    </w:p>
    <w:p w14:paraId="62DF9AB9" w14:textId="221E22A1" w:rsidR="00244F7E" w:rsidRPr="001D41A5" w:rsidRDefault="00BF19B4" w:rsidP="00025654">
      <w:pPr>
        <w:spacing w:before="70" w:line="480" w:lineRule="auto"/>
        <w:ind w:right="8"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Se hace necesario analizar cuáles son esos requisitos adicionales y diferentes que se le están exigiendo hoy en día a los avaluadores que pretenden prestar sus servicios en la categoría de avalúos de predios rurales, ya que es especial y diferente a las demás por los métodos de valoración que se tienen con la tierra que no hace parte de una urbe.</w:t>
      </w:r>
    </w:p>
    <w:p w14:paraId="79233920" w14:textId="77777777" w:rsidR="00C8508C" w:rsidRPr="001D41A5" w:rsidRDefault="00C8508C" w:rsidP="00025654">
      <w:pPr>
        <w:spacing w:before="70" w:line="480" w:lineRule="auto"/>
        <w:ind w:right="8" w:firstLine="720"/>
        <w:jc w:val="both"/>
        <w:rPr>
          <w:rFonts w:ascii="Times New Roman" w:eastAsia="Times New Roman" w:hAnsi="Times New Roman" w:cs="Times New Roman"/>
          <w:sz w:val="24"/>
          <w:szCs w:val="24"/>
        </w:rPr>
      </w:pPr>
    </w:p>
    <w:p w14:paraId="1D8370A4" w14:textId="1AF3CFF9" w:rsidR="00244F7E" w:rsidRPr="001D41A5" w:rsidRDefault="00BF19B4" w:rsidP="00C31C4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También es prioritario el esclarecer la función específica y los sistemas utilizados por las  Entidades  Reconocidas  de  Autorregulación, en adelante también conocida por sus siglas ERA,  para  la  tramitación  y  valoración  de  esos requisitos presentados por los interesados en ser avaluadores oficiales, pues es en esta tarea en la que se pueden flexibilizar las condiciones y se esté cometiendo el error de designar a avaluadores sin experiencia o academia suficiente en ciertas categorías especiales y diferentes como los bienes inmuebles rurales.</w:t>
      </w:r>
    </w:p>
    <w:p w14:paraId="00E9808A" w14:textId="77777777" w:rsidR="008719E9" w:rsidRPr="001D41A5" w:rsidRDefault="00BF19B4" w:rsidP="008719E9">
      <w:pPr>
        <w:spacing w:before="65" w:line="480" w:lineRule="auto"/>
        <w:ind w:right="6"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Lo anterior se hace necesario toda vez que la sociedad y los profesionales estamos llamados a realizar una veeduría a estos procesos de selección y registro, ya que los</w:t>
      </w:r>
      <w:r w:rsidR="008719E9" w:rsidRPr="001D41A5">
        <w:rPr>
          <w:rFonts w:ascii="Times New Roman" w:eastAsia="Times New Roman" w:hAnsi="Times New Roman" w:cs="Times New Roman"/>
          <w:sz w:val="24"/>
          <w:szCs w:val="24"/>
        </w:rPr>
        <w:t xml:space="preserve"> avaluadores concretamente son actores fundamentales en el desarrollo urbano y rural y gracias a ellos es que hoy en día las personas naturales, jurídicas y todas las instituciones del Estado se encuentran comercializando los bienes, inclusive grandes participantes del mercado como bancos y aseguradoras.</w:t>
      </w:r>
    </w:p>
    <w:p w14:paraId="18F4CDAE" w14:textId="77777777" w:rsidR="008719E9" w:rsidRPr="001D41A5" w:rsidRDefault="008719E9" w:rsidP="008719E9">
      <w:pPr>
        <w:spacing w:before="65" w:line="480" w:lineRule="auto"/>
        <w:ind w:right="6" w:firstLine="720"/>
        <w:jc w:val="both"/>
        <w:rPr>
          <w:rFonts w:ascii="Times New Roman" w:eastAsia="Times New Roman" w:hAnsi="Times New Roman" w:cs="Times New Roman"/>
          <w:sz w:val="24"/>
          <w:szCs w:val="24"/>
        </w:rPr>
      </w:pPr>
    </w:p>
    <w:p w14:paraId="028351C0" w14:textId="77777777" w:rsidR="008719E9" w:rsidRPr="001D41A5" w:rsidRDefault="008719E9" w:rsidP="008719E9">
      <w:pPr>
        <w:spacing w:before="68" w:line="480" w:lineRule="auto"/>
        <w:ind w:left="2" w:right="2"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Realizar esta labor sin el lleno de requisitos académicos y empíricos necesarios para llevarla a cabo resulta en un desequilibrio económico gravísimo para la sociedad y las finanzas del Estado, </w:t>
      </w:r>
      <w:bookmarkStart w:id="9" w:name="_Hlk149850146"/>
      <w:r w:rsidRPr="001D41A5">
        <w:rPr>
          <w:rFonts w:ascii="Times New Roman" w:eastAsia="Times New Roman" w:hAnsi="Times New Roman" w:cs="Times New Roman"/>
          <w:sz w:val="24"/>
          <w:szCs w:val="24"/>
        </w:rPr>
        <w:t>pues se concluiría en que los valores de los bienes no se encuentran bien tasados por no tener en cuenta los métodos establecidos y respetar las condiciones de ingreso a la lista de quienes pueden y quienes no realizar este tipo de avalúos.</w:t>
      </w:r>
      <w:bookmarkEnd w:id="9"/>
    </w:p>
    <w:p w14:paraId="02E3E0F3" w14:textId="77777777" w:rsidR="008719E9" w:rsidRPr="001D41A5" w:rsidRDefault="008719E9" w:rsidP="008719E9">
      <w:pPr>
        <w:spacing w:before="68" w:line="480" w:lineRule="auto"/>
        <w:ind w:left="2" w:right="2" w:firstLine="720"/>
        <w:jc w:val="both"/>
        <w:rPr>
          <w:rFonts w:ascii="Times New Roman" w:eastAsia="Times New Roman" w:hAnsi="Times New Roman" w:cs="Times New Roman"/>
          <w:sz w:val="24"/>
          <w:szCs w:val="24"/>
        </w:rPr>
      </w:pPr>
    </w:p>
    <w:p w14:paraId="7B3969DC" w14:textId="77777777" w:rsidR="008719E9" w:rsidRPr="001D41A5" w:rsidRDefault="008719E9" w:rsidP="008719E9">
      <w:pPr>
        <w:spacing w:before="69" w:line="480" w:lineRule="auto"/>
        <w:ind w:left="2"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También se justifica en la necesidad de material para que instituciones públicas y organizaciones privadas aúnen fuerzas para la búsqueda de nuevas herramientas y sistemas de selección,  pues  estamos  en  una  nueva  era  de  las  nuevas tecnologías, en la que se pueden proponer por ejemplo proyectos tendientes a la integración de tecnologías  como  las famosas </w:t>
      </w:r>
      <w:proofErr w:type="spellStart"/>
      <w:r w:rsidRPr="001D41A5">
        <w:rPr>
          <w:rFonts w:ascii="Times New Roman" w:eastAsia="Times New Roman" w:hAnsi="Times New Roman" w:cs="Times New Roman"/>
          <w:sz w:val="24"/>
          <w:szCs w:val="24"/>
        </w:rPr>
        <w:t>IAs</w:t>
      </w:r>
      <w:proofErr w:type="spellEnd"/>
      <w:r w:rsidRPr="001D41A5">
        <w:rPr>
          <w:rFonts w:ascii="Times New Roman" w:eastAsia="Times New Roman" w:hAnsi="Times New Roman" w:cs="Times New Roman"/>
          <w:sz w:val="24"/>
          <w:szCs w:val="24"/>
        </w:rPr>
        <w:t xml:space="preserve"> (inteligencias artificiales),  y  el </w:t>
      </w:r>
      <w:proofErr w:type="spellStart"/>
      <w:r w:rsidRPr="001D41A5">
        <w:rPr>
          <w:rFonts w:ascii="Times New Roman" w:eastAsia="Times New Roman" w:hAnsi="Times New Roman" w:cs="Times New Roman"/>
          <w:sz w:val="24"/>
          <w:szCs w:val="24"/>
        </w:rPr>
        <w:t>blockchain</w:t>
      </w:r>
      <w:proofErr w:type="spellEnd"/>
      <w:r w:rsidRPr="001D41A5">
        <w:rPr>
          <w:rFonts w:ascii="Times New Roman" w:eastAsia="Times New Roman" w:hAnsi="Times New Roman" w:cs="Times New Roman"/>
          <w:sz w:val="24"/>
          <w:szCs w:val="24"/>
        </w:rPr>
        <w:t>, que hacen parte de la Cuarta Revolución Industrial, a estos sistemas que verifican el lleno de requisitos de los avaluadores del país.</w:t>
      </w:r>
    </w:p>
    <w:p w14:paraId="649F101E" w14:textId="77777777" w:rsidR="008719E9" w:rsidRPr="001D41A5" w:rsidRDefault="008719E9" w:rsidP="008719E9">
      <w:pPr>
        <w:spacing w:before="69" w:line="480" w:lineRule="auto"/>
        <w:ind w:left="2" w:firstLine="720"/>
        <w:jc w:val="both"/>
        <w:rPr>
          <w:rFonts w:ascii="Times New Roman" w:eastAsia="Times New Roman" w:hAnsi="Times New Roman" w:cs="Times New Roman"/>
          <w:sz w:val="24"/>
          <w:szCs w:val="24"/>
        </w:rPr>
      </w:pPr>
    </w:p>
    <w:p w14:paraId="453A3EC4" w14:textId="77777777" w:rsidR="008719E9" w:rsidRPr="001D41A5" w:rsidRDefault="008719E9" w:rsidP="008719E9">
      <w:pPr>
        <w:spacing w:before="69" w:line="480" w:lineRule="auto"/>
        <w:ind w:right="1"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Este trabajo servirá precisamente para eso, para conocer el estado actual de la actividad del avalúo de bienes inmuebles y para determinar en qué etapas y procesos se deben buscar soluciones de mejoramiento, de esta forma cada día el país se acercará a la realidad de cuánto cuesta la tierra en todos los territorios y equilibrar el patrimonio para la toma de decisiones con valoraciones de mejor calidad.</w:t>
      </w:r>
    </w:p>
    <w:p w14:paraId="6686C64F" w14:textId="77777777" w:rsidR="008719E9" w:rsidRPr="001D41A5" w:rsidRDefault="008719E9" w:rsidP="008719E9">
      <w:pPr>
        <w:spacing w:before="69" w:line="480" w:lineRule="auto"/>
        <w:ind w:right="1" w:firstLine="720"/>
        <w:jc w:val="both"/>
        <w:rPr>
          <w:rFonts w:ascii="Times New Roman" w:eastAsia="Times New Roman" w:hAnsi="Times New Roman" w:cs="Times New Roman"/>
          <w:sz w:val="24"/>
          <w:szCs w:val="24"/>
        </w:rPr>
      </w:pPr>
    </w:p>
    <w:p w14:paraId="5B72AE1F" w14:textId="77777777" w:rsidR="008719E9" w:rsidRPr="001D41A5" w:rsidRDefault="008719E9" w:rsidP="008719E9">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Por lo anterior es que se desarrolla la pregunta de investigación de ¿Cuál han sido las normas y la metodología de los criterios de registro de avaluadores de predios rurales por parte de las Entidades Reconocidas de Autorregulación?</w:t>
      </w:r>
    </w:p>
    <w:p w14:paraId="598ECAE7" w14:textId="77777777" w:rsidR="008719E9" w:rsidRPr="001D41A5" w:rsidRDefault="008719E9" w:rsidP="008719E9">
      <w:pPr>
        <w:spacing w:before="69" w:line="480" w:lineRule="auto"/>
        <w:ind w:firstLine="720"/>
        <w:jc w:val="both"/>
        <w:rPr>
          <w:rFonts w:ascii="Times New Roman" w:eastAsia="Times New Roman" w:hAnsi="Times New Roman" w:cs="Times New Roman"/>
          <w:sz w:val="24"/>
          <w:szCs w:val="24"/>
        </w:rPr>
      </w:pPr>
    </w:p>
    <w:p w14:paraId="560AF27B" w14:textId="77777777" w:rsidR="008719E9" w:rsidRPr="001D41A5" w:rsidRDefault="008719E9" w:rsidP="008719E9">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  Pregunta para la cual se requiere establecer en primer lugar cuál han sido las normas y métodos de los criterios de registro de avaluadores de predios rurales por parte de las ERA, que son las que se encargan de estos registros.</w:t>
      </w:r>
    </w:p>
    <w:p w14:paraId="7D054E78" w14:textId="77777777" w:rsidR="008719E9" w:rsidRPr="001D41A5" w:rsidRDefault="008719E9" w:rsidP="008719E9">
      <w:pPr>
        <w:spacing w:before="69" w:line="480" w:lineRule="auto"/>
        <w:ind w:firstLine="720"/>
        <w:jc w:val="both"/>
        <w:rPr>
          <w:rFonts w:ascii="Times New Roman" w:eastAsia="Times New Roman" w:hAnsi="Times New Roman" w:cs="Times New Roman"/>
          <w:sz w:val="24"/>
          <w:szCs w:val="24"/>
        </w:rPr>
      </w:pPr>
    </w:p>
    <w:p w14:paraId="4FA0401D" w14:textId="77777777" w:rsidR="008719E9" w:rsidRPr="001D41A5" w:rsidRDefault="008719E9" w:rsidP="008719E9">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Así como también, de manera metodológica, compilar en el primer capítulo la  normativa  en  Colombia  con  respecto  a  la  actividad del avaluador  en la categoría  rural después de la expedición de la Constitución Política de 1991 (1991), para delimitar la investigación en un espacio temporal razonable; identificar en un segundo capítulo todas  el avance  normativo  y  metodológico  sobre  los requisitos  exigidos  a  los  avaluadores  de predios rurales por parte del Estado y las Entidades Reconocidas de Autorregulación para su inscripción en el RAA, para poder analizar los criterios que se están utilizando y se han venido utilizando para la designación y la certificación.</w:t>
      </w:r>
    </w:p>
    <w:p w14:paraId="51C86F60" w14:textId="77777777" w:rsidR="008719E9" w:rsidRPr="001D41A5" w:rsidRDefault="008719E9" w:rsidP="008719E9">
      <w:pPr>
        <w:spacing w:before="69" w:line="480" w:lineRule="auto"/>
        <w:ind w:firstLine="720"/>
        <w:jc w:val="both"/>
        <w:rPr>
          <w:rFonts w:ascii="Times New Roman" w:eastAsia="Times New Roman" w:hAnsi="Times New Roman" w:cs="Times New Roman"/>
          <w:sz w:val="24"/>
          <w:szCs w:val="24"/>
        </w:rPr>
      </w:pPr>
    </w:p>
    <w:p w14:paraId="1165A3B9" w14:textId="77777777" w:rsidR="008719E9" w:rsidRPr="001D41A5" w:rsidRDefault="008719E9" w:rsidP="008719E9">
      <w:pPr>
        <w:spacing w:before="69" w:line="480" w:lineRule="auto"/>
        <w:ind w:firstLine="720"/>
        <w:jc w:val="both"/>
        <w:rPr>
          <w:rFonts w:ascii="Times New Roman" w:eastAsia="Times New Roman" w:hAnsi="Times New Roman" w:cs="Times New Roman"/>
          <w:sz w:val="24"/>
          <w:szCs w:val="24"/>
        </w:rPr>
      </w:pPr>
      <w:bookmarkStart w:id="10" w:name="_Hlk149851117"/>
      <w:r w:rsidRPr="001D41A5">
        <w:rPr>
          <w:rFonts w:ascii="Times New Roman" w:eastAsia="Times New Roman" w:hAnsi="Times New Roman" w:cs="Times New Roman"/>
          <w:sz w:val="24"/>
          <w:szCs w:val="24"/>
        </w:rPr>
        <w:t xml:space="preserve">Finalmente, en el tercer capítulo se realiza la diferenciación de algunos tipos de avalúos que hace mención la norma. También de los  conocimientos  específicos y  técnicos  que  debe  tener un avaluador de predios rurales con respecto al resto de bienes inmuebles sujetos a avalúo, pues son conocimientos diferentes; y finalmente se sugerirán ideas sobre un mejoramiento de los procedimientos de registro de  avaluadores  de  predios  rurales  en  el  RAA  por  su </w:t>
      </w:r>
      <w:r w:rsidRPr="001D41A5">
        <w:rPr>
          <w:rFonts w:ascii="Times New Roman" w:eastAsia="Times New Roman" w:hAnsi="Times New Roman" w:cs="Times New Roman"/>
          <w:sz w:val="24"/>
          <w:szCs w:val="24"/>
        </w:rPr>
        <w:lastRenderedPageBreak/>
        <w:t>importancia en la tasación rural, sugerencias que parten también de la experiencia propia de uno de los investigadores en su actividad profesional como avaluador.</w:t>
      </w:r>
      <w:bookmarkEnd w:id="10"/>
    </w:p>
    <w:p w14:paraId="5685139A" w14:textId="0346AEA0" w:rsidR="00244F7E" w:rsidRPr="001D41A5" w:rsidRDefault="00244F7E" w:rsidP="00025654">
      <w:pPr>
        <w:spacing w:before="70" w:line="480" w:lineRule="auto"/>
        <w:ind w:left="5" w:right="3" w:firstLine="720"/>
        <w:jc w:val="both"/>
        <w:rPr>
          <w:rFonts w:ascii="Times New Roman" w:eastAsia="Times New Roman" w:hAnsi="Times New Roman" w:cs="Times New Roman"/>
          <w:sz w:val="24"/>
          <w:szCs w:val="24"/>
        </w:rPr>
        <w:sectPr w:rsidR="00244F7E" w:rsidRPr="001D41A5" w:rsidSect="00025654">
          <w:type w:val="continuous"/>
          <w:pgSz w:w="11920" w:h="16840"/>
          <w:pgMar w:top="1440" w:right="1440" w:bottom="1440" w:left="1440" w:header="0" w:footer="0" w:gutter="0"/>
          <w:cols w:space="720"/>
          <w:docGrid w:linePitch="286"/>
        </w:sectPr>
      </w:pPr>
    </w:p>
    <w:p w14:paraId="75870509" w14:textId="77777777" w:rsidR="00244F7E" w:rsidRPr="001D41A5" w:rsidRDefault="00BF19B4" w:rsidP="00025654">
      <w:pPr>
        <w:pStyle w:val="Ttulo1"/>
        <w:spacing w:line="480" w:lineRule="auto"/>
        <w:ind w:firstLine="720"/>
        <w:rPr>
          <w:rFonts w:ascii="Times New Roman" w:eastAsia="Times New Roman" w:hAnsi="Times New Roman" w:cs="Times New Roman"/>
          <w:b/>
          <w:color w:val="000000"/>
          <w:sz w:val="24"/>
          <w:szCs w:val="24"/>
        </w:rPr>
      </w:pPr>
      <w:bookmarkStart w:id="11" w:name="_heading=h.1fob9te" w:colFirst="0" w:colLast="0"/>
      <w:bookmarkStart w:id="12" w:name="_Toc151281938"/>
      <w:bookmarkEnd w:id="11"/>
      <w:r w:rsidRPr="001D41A5">
        <w:rPr>
          <w:rFonts w:ascii="Times New Roman" w:eastAsia="Times New Roman" w:hAnsi="Times New Roman" w:cs="Times New Roman"/>
          <w:b/>
          <w:color w:val="000000"/>
          <w:sz w:val="24"/>
          <w:szCs w:val="24"/>
        </w:rPr>
        <w:lastRenderedPageBreak/>
        <w:t>Primer capítulo</w:t>
      </w:r>
      <w:bookmarkEnd w:id="12"/>
    </w:p>
    <w:p w14:paraId="57D91F9B"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3F9E6888"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13" w:name="_heading=h.3znysh7" w:colFirst="0" w:colLast="0"/>
      <w:bookmarkStart w:id="14" w:name="_Toc151281939"/>
      <w:bookmarkEnd w:id="13"/>
      <w:r w:rsidRPr="001D41A5">
        <w:rPr>
          <w:rFonts w:ascii="Times New Roman" w:eastAsia="Times New Roman" w:hAnsi="Times New Roman" w:cs="Times New Roman"/>
          <w:b/>
          <w:color w:val="000000"/>
          <w:sz w:val="24"/>
          <w:szCs w:val="24"/>
        </w:rPr>
        <w:t>Los avalúos</w:t>
      </w:r>
      <w:bookmarkEnd w:id="14"/>
      <w:r w:rsidRPr="001D41A5">
        <w:rPr>
          <w:rFonts w:ascii="Times New Roman" w:eastAsia="Times New Roman" w:hAnsi="Times New Roman" w:cs="Times New Roman"/>
          <w:b/>
          <w:color w:val="000000"/>
          <w:sz w:val="24"/>
          <w:szCs w:val="24"/>
        </w:rPr>
        <w:t xml:space="preserve"> </w:t>
      </w:r>
    </w:p>
    <w:p w14:paraId="3B1D0079" w14:textId="77777777" w:rsidR="00244F7E" w:rsidRPr="001D41A5" w:rsidRDefault="00244F7E" w:rsidP="00025654">
      <w:pPr>
        <w:spacing w:line="480" w:lineRule="auto"/>
        <w:ind w:firstLine="720"/>
        <w:jc w:val="both"/>
        <w:rPr>
          <w:rFonts w:ascii="Times New Roman" w:eastAsia="Times New Roman" w:hAnsi="Times New Roman" w:cs="Times New Roman"/>
          <w:b/>
          <w:sz w:val="24"/>
          <w:szCs w:val="24"/>
        </w:rPr>
      </w:pPr>
    </w:p>
    <w:p w14:paraId="61D54E62" w14:textId="0ADC78BA" w:rsidR="00244F7E" w:rsidRPr="001D41A5" w:rsidRDefault="00BF19B4"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La propiedad raíz continúa siendo considerada como uno de los activos e inversiones más importantes de las personas (naturales y jurídicas), y los Estados; pues son los espacios físicos indudablemente indispensables para la ejecución de prácticamente todas nuestras actividades humanas, generando un enorme bienestar para aquellos que tengan algún tipo de relación o vinculación con un bien inmueble.</w:t>
      </w:r>
    </w:p>
    <w:p w14:paraId="22A48ECB" w14:textId="5BAAE474" w:rsidR="00244F7E" w:rsidRPr="001D41A5" w:rsidRDefault="00BF19B4"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El derecho, al intentar proteger al máximo todos aquellos activos que para las personas son importantes y relevantes para la vida en sociedad, no es ajeno a la necesidad que tienen todos los actores sociales de crear cada día más herramientas que permitan la efectiva administración de los bienes inmuebles, como recurso primero escaso y segundo, tenido en una alta valoración por parte de las personas.</w:t>
      </w:r>
    </w:p>
    <w:p w14:paraId="1E06C3AF"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719A8F72" w14:textId="7B66FD0D" w:rsidR="00244F7E" w:rsidRPr="001D41A5" w:rsidRDefault="00BF19B4"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Entonces el Estado crea y direcciona la creación de Curadurías Urbanas, de Lonjas de propiedad raíz, del Instituto Geográfico Agustín Codazzi, en adelante IGAC, las Oficinas de Registro de Instrumentos Públicos, las Secretarías Municipales y Distritales de Vivienda, de Agricultura que se encargan de los predios rurales, de Planeación Municipal que ejecutan los proyectos de ordenamiento territorial, el Ministerio de Agricultura que define con sus políticas las destinaciones rurales, y otras entidades que participan de la organización y administración de todos los bienes inmuebles.</w:t>
      </w:r>
    </w:p>
    <w:p w14:paraId="3906D316" w14:textId="77777777" w:rsidR="003F4926" w:rsidRPr="001D41A5" w:rsidRDefault="003F4926" w:rsidP="00025654">
      <w:pPr>
        <w:spacing w:line="480" w:lineRule="auto"/>
        <w:ind w:firstLine="720"/>
        <w:jc w:val="both"/>
        <w:rPr>
          <w:rFonts w:ascii="Times New Roman" w:eastAsia="Times New Roman" w:hAnsi="Times New Roman" w:cs="Times New Roman"/>
          <w:sz w:val="24"/>
          <w:szCs w:val="24"/>
        </w:rPr>
      </w:pPr>
    </w:p>
    <w:p w14:paraId="517E07B7" w14:textId="2BE258BB" w:rsidR="00244F7E" w:rsidRPr="001D41A5" w:rsidRDefault="00BF19B4"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 xml:space="preserve">No sólo </w:t>
      </w:r>
      <w:r w:rsidR="00E8452A" w:rsidRPr="001D41A5">
        <w:rPr>
          <w:rFonts w:ascii="Times New Roman" w:eastAsia="Times New Roman" w:hAnsi="Times New Roman" w:cs="Times New Roman"/>
          <w:sz w:val="24"/>
          <w:szCs w:val="24"/>
        </w:rPr>
        <w:t>l</w:t>
      </w:r>
      <w:r w:rsidRPr="001D41A5">
        <w:rPr>
          <w:rFonts w:ascii="Times New Roman" w:eastAsia="Times New Roman" w:hAnsi="Times New Roman" w:cs="Times New Roman"/>
          <w:sz w:val="24"/>
          <w:szCs w:val="24"/>
        </w:rPr>
        <w:t xml:space="preserve">os impuestos dependen del valor del inmueble, sino también aquellos derivados de la actividad de comercializar inmuebles o con inmuebles, que es la actividad </w:t>
      </w:r>
      <w:r w:rsidRPr="001D41A5">
        <w:rPr>
          <w:rFonts w:ascii="Times New Roman" w:eastAsia="Times New Roman" w:hAnsi="Times New Roman" w:cs="Times New Roman"/>
          <w:sz w:val="24"/>
          <w:szCs w:val="24"/>
        </w:rPr>
        <w:lastRenderedPageBreak/>
        <w:t>inmobiliaria. Todo tipo de cobro de arriendo o compraventa de inmuebles</w:t>
      </w:r>
      <w:r w:rsidR="00F12305" w:rsidRPr="001D41A5">
        <w:rPr>
          <w:rFonts w:ascii="Times New Roman" w:eastAsia="Times New Roman" w:hAnsi="Times New Roman" w:cs="Times New Roman"/>
          <w:sz w:val="24"/>
          <w:szCs w:val="24"/>
        </w:rPr>
        <w:t xml:space="preserve"> rurales</w:t>
      </w:r>
      <w:r w:rsidRPr="001D41A5">
        <w:rPr>
          <w:rFonts w:ascii="Times New Roman" w:eastAsia="Times New Roman" w:hAnsi="Times New Roman" w:cs="Times New Roman"/>
          <w:sz w:val="24"/>
          <w:szCs w:val="24"/>
        </w:rPr>
        <w:t xml:space="preserve"> requiere unos trámites que deben ser cubiertos, y muchos de ellos, como el valor de las escrituras públicas y otras tasas de registro dependen del valor del inmueble.</w:t>
      </w:r>
    </w:p>
    <w:p w14:paraId="6AFAE8B2"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4438E135" w14:textId="1FD7D463" w:rsidR="00244F7E" w:rsidRPr="001D41A5" w:rsidRDefault="00BF19B4"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Ahora bien, los impuestos son sólo uno de los eventos en los cuales se debe observar el valor de un inmueble</w:t>
      </w:r>
      <w:r w:rsidR="00F12305" w:rsidRPr="001D41A5">
        <w:rPr>
          <w:rFonts w:ascii="Times New Roman" w:eastAsia="Times New Roman" w:hAnsi="Times New Roman" w:cs="Times New Roman"/>
          <w:sz w:val="24"/>
          <w:szCs w:val="24"/>
        </w:rPr>
        <w:t xml:space="preserve"> rural</w:t>
      </w:r>
      <w:r w:rsidRPr="001D41A5">
        <w:rPr>
          <w:rFonts w:ascii="Times New Roman" w:eastAsia="Times New Roman" w:hAnsi="Times New Roman" w:cs="Times New Roman"/>
          <w:sz w:val="24"/>
          <w:szCs w:val="24"/>
        </w:rPr>
        <w:t>. También por ejemplo para la actividad judicial, en las situaciones de demandas y denuncias, cuando el proceso termina en un embargo y secuestro, la etapa siguiente es el remate del mismo, para lo cual se requiere conocer el valor del inmueble</w:t>
      </w:r>
      <w:r w:rsidR="00F12305" w:rsidRPr="001D41A5">
        <w:rPr>
          <w:rFonts w:ascii="Times New Roman" w:eastAsia="Times New Roman" w:hAnsi="Times New Roman" w:cs="Times New Roman"/>
          <w:sz w:val="24"/>
          <w:szCs w:val="24"/>
        </w:rPr>
        <w:t xml:space="preserve"> rural</w:t>
      </w:r>
      <w:r w:rsidRPr="001D41A5">
        <w:rPr>
          <w:rFonts w:ascii="Times New Roman" w:eastAsia="Times New Roman" w:hAnsi="Times New Roman" w:cs="Times New Roman"/>
          <w:sz w:val="24"/>
          <w:szCs w:val="24"/>
        </w:rPr>
        <w:t xml:space="preserve"> y saber en cuanto puede venderse para pagar las consecuencias jurídicas de lo demandado o denunciado; así por ejemplo se busca que de la venta de un inmueble se pague una indemnización, o una deuda, o una sanción de la que se es acreedor, quien debe tener claridad sobre el valor del bien para poder conocer si es suficiente o no con la venta de ese inmueble.</w:t>
      </w:r>
    </w:p>
    <w:p w14:paraId="55247F8D"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743E2122" w14:textId="6B6112E7" w:rsidR="00244F7E" w:rsidRPr="001D41A5" w:rsidRDefault="00BF19B4"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Sin duda alguna, tener el dominio sobre un inmueble</w:t>
      </w:r>
      <w:r w:rsidR="00C05B08" w:rsidRPr="001D41A5">
        <w:rPr>
          <w:rFonts w:ascii="Times New Roman" w:eastAsia="Times New Roman" w:hAnsi="Times New Roman" w:cs="Times New Roman"/>
          <w:sz w:val="24"/>
          <w:szCs w:val="24"/>
        </w:rPr>
        <w:t xml:space="preserve"> rural</w:t>
      </w:r>
      <w:r w:rsidRPr="001D41A5">
        <w:rPr>
          <w:rFonts w:ascii="Times New Roman" w:eastAsia="Times New Roman" w:hAnsi="Times New Roman" w:cs="Times New Roman"/>
          <w:sz w:val="24"/>
          <w:szCs w:val="24"/>
        </w:rPr>
        <w:t xml:space="preserve"> representa obligaciones y beneficios en igual medida; pero lo que finalmente importa para los procesos en los que se ven involucrados los mismos, es conocer lo más exacto posible cuál es su valor, y saber esto depende de tantas variables que la misma norma ha reconocido a través del tiempo que es un asunto al que hay que prestarle especial cuidado. </w:t>
      </w:r>
    </w:p>
    <w:p w14:paraId="0E89F82F"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5E02ED07" w14:textId="77777777" w:rsidR="00244F7E" w:rsidRPr="001D41A5" w:rsidRDefault="00BF19B4"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Pero prestarle especial cuidado no es simplemente crear instituciones que realmente sean independientes y que en lo posible estén alejadas de los fenómenos de la corrupción que tanto le hacen daño al sistema político. Sino también definir un conjunto de estrategias, métodos, cualidades, estudios y experiencia que requieran tener y practicar las personas dedicadas a definir el valor de un bien inmueble. Luego no podría ser cualquiera el que pretenda dar un concepto sobre esta cifra.</w:t>
      </w:r>
    </w:p>
    <w:p w14:paraId="337E912F"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19949583" w14:textId="77777777" w:rsidR="00244F7E" w:rsidRPr="001D41A5" w:rsidRDefault="00BF19B4"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En asuntos de estudio y organización de las tierras el legislador en Colombia ha venido desarrollando la normativa con base en lo que el IGAC orienta, siendo esta institución una de las más antiguas y estables de la historia de la Nación.</w:t>
      </w:r>
    </w:p>
    <w:p w14:paraId="74388978"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423FEEFA" w14:textId="21F929A8" w:rsidR="00244F7E" w:rsidRPr="001D41A5" w:rsidRDefault="00BF19B4"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 IGAC nació en el año 1935 por medio del Decreto 1440 del 13 de agosto, como un ente especializado en temas del uso y control de las tierras, menciona el mismo IGAC en su página oficial (2023).</w:t>
      </w:r>
    </w:p>
    <w:p w14:paraId="29BFD652"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2E45F1D8" w14:textId="36B17F6E" w:rsidR="00244F7E" w:rsidRPr="001D41A5" w:rsidRDefault="00BF19B4"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 Agustín Codazzi se convirtió así en la entidad número uno referente en temas de regulación, administración y protección de la información sobre inmuebles y también con su valoración en el mercado y para distintos fines; además es a partir de la expedición de la Resolución 620 (2008) del mismo IGAC que se comienzan a positivizar métodos claros valuatorios que se deberían utilizar para lograr determinar efectivamente el valor de un inmueble.</w:t>
      </w:r>
    </w:p>
    <w:p w14:paraId="52725E6D" w14:textId="77777777" w:rsidR="000F74F5" w:rsidRPr="001D41A5" w:rsidRDefault="000F74F5" w:rsidP="00025654">
      <w:pPr>
        <w:spacing w:line="480" w:lineRule="auto"/>
        <w:ind w:firstLine="720"/>
        <w:jc w:val="both"/>
        <w:rPr>
          <w:rFonts w:ascii="Times New Roman" w:eastAsia="Times New Roman" w:hAnsi="Times New Roman" w:cs="Times New Roman"/>
          <w:sz w:val="24"/>
          <w:szCs w:val="24"/>
        </w:rPr>
      </w:pPr>
    </w:p>
    <w:p w14:paraId="4C5BBB58" w14:textId="77777777" w:rsidR="00244F7E" w:rsidRPr="001D41A5" w:rsidRDefault="00BF19B4" w:rsidP="00025654">
      <w:pPr>
        <w:spacing w:before="69" w:line="480" w:lineRule="auto"/>
        <w:ind w:right="6"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misma Ley 388 de 1997 en su artículo 56, numeral 3, comenzaba a direccionar procedimientos de avalúo, los cuales se llevarían a cabo por medio lo que denominó como peritos inscritos, bien sea en la lonja de propiedad raíz o en otras entidades especializadas, aún no como avaluadores ni creando instituciones especializadas para el seguimiento y vigilancia de esta profesión (Congreso de la República de Colombia, 1997, art. 56).</w:t>
      </w:r>
    </w:p>
    <w:p w14:paraId="762EEA92"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00E9C772"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No es sino hasta la expedición del Decreto 1420 de 1998 que se reglamentan los avalúos y por ejemplo se incluye al Instituto Geográfico Agustín Codazzi como una institución más </w:t>
      </w:r>
      <w:r w:rsidRPr="001D41A5">
        <w:rPr>
          <w:rFonts w:ascii="Times New Roman" w:eastAsia="Times New Roman" w:hAnsi="Times New Roman" w:cs="Times New Roman"/>
          <w:sz w:val="24"/>
          <w:szCs w:val="24"/>
        </w:rPr>
        <w:lastRenderedPageBreak/>
        <w:t>para la lista de lo que todavía para entonces se denominaban simplemente peritos. (Presidencia de la República, 1998)</w:t>
      </w:r>
    </w:p>
    <w:p w14:paraId="2395232D"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2B73491F"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Si bien con esas primeras expresiones normativas está claro que siempre ha habido una intención de que quienes se dediquen al avalúo de bienes se encuentren registrados en alguna institución o empresa, no se puede olvidar que la generación de normativa sobre los avaluadores en Colombia es muy reciente; el Congreso ha establecido unos lineamientos como es de su naturaleza, pero el Ejecutivo se ha tardado en la toma de decisiones.</w:t>
      </w:r>
    </w:p>
    <w:p w14:paraId="00C8EC17"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3715E491" w14:textId="77777777" w:rsidR="00244F7E" w:rsidRPr="001D41A5" w:rsidRDefault="00BF19B4" w:rsidP="00025654">
      <w:pPr>
        <w:spacing w:before="70" w:line="480" w:lineRule="auto"/>
        <w:ind w:left="7" w:right="1"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Ese proceso de registro que se estableció para las personas que realizan avalúos se debía adelantar ante las lonjas domiciliadas en donde se encontraba el bien a valorar. Estas lonjas las define el mismo Decreto 1420 de 1998 como “asociaciones o colegios que agrupan a profesionales en finca raíz, </w:t>
      </w:r>
      <w:proofErr w:type="spellStart"/>
      <w:r w:rsidRPr="001D41A5">
        <w:rPr>
          <w:rFonts w:ascii="Times New Roman" w:eastAsia="Times New Roman" w:hAnsi="Times New Roman" w:cs="Times New Roman"/>
          <w:sz w:val="24"/>
          <w:szCs w:val="24"/>
        </w:rPr>
        <w:t>peritazgo</w:t>
      </w:r>
      <w:proofErr w:type="spellEnd"/>
      <w:r w:rsidRPr="001D41A5">
        <w:rPr>
          <w:rFonts w:ascii="Times New Roman" w:eastAsia="Times New Roman" w:hAnsi="Times New Roman" w:cs="Times New Roman"/>
          <w:sz w:val="24"/>
          <w:szCs w:val="24"/>
        </w:rPr>
        <w:t xml:space="preserve"> y avalúo de inmuebles” (Presidencia de la República, 1998, arts. 8-9).</w:t>
      </w:r>
    </w:p>
    <w:p w14:paraId="5DEE6554" w14:textId="77777777" w:rsidR="00244F7E" w:rsidRPr="001D41A5" w:rsidRDefault="00244F7E" w:rsidP="00025654">
      <w:pPr>
        <w:spacing w:before="70" w:line="480" w:lineRule="auto"/>
        <w:ind w:right="1" w:firstLine="720"/>
        <w:jc w:val="both"/>
        <w:rPr>
          <w:rFonts w:ascii="Times New Roman" w:eastAsia="Times New Roman" w:hAnsi="Times New Roman" w:cs="Times New Roman"/>
          <w:sz w:val="24"/>
          <w:szCs w:val="24"/>
        </w:rPr>
      </w:pPr>
    </w:p>
    <w:p w14:paraId="1DB242A0" w14:textId="77777777" w:rsidR="00244F7E" w:rsidRPr="001D41A5" w:rsidRDefault="00BF19B4" w:rsidP="00025654">
      <w:pPr>
        <w:spacing w:before="69" w:line="480" w:lineRule="auto"/>
        <w:ind w:left="1"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Para este registro las lonjas estaban direccionadas a crear un reglamento que incluía: los métodos de admisión a la lista de los avaluadores; derechos y deberes; un sistema de reparto   de   solicitudes, inhabilidades, incompatibilidades, impedimentos, y prohibiciones; instancias de control; y hasta un régimen sancionatorio, según el artículo 10 del mismo Decreto 1420 (1998).</w:t>
      </w:r>
    </w:p>
    <w:p w14:paraId="5AB2B84F"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155593C8" w14:textId="5792A12B" w:rsidR="00244F7E" w:rsidRPr="001D41A5" w:rsidRDefault="00BF19B4" w:rsidP="00025654">
      <w:pPr>
        <w:spacing w:before="69" w:line="480" w:lineRule="auto"/>
        <w:ind w:left="1" w:right="1"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Lo anterior es el inicio de otros inconvenientes que tiene hoy en día el sistema de registro de avaluadores, específicamente en la especialidad de avalúos rurales. Uno de ellos es que el sistema de registro,</w:t>
      </w:r>
      <w:r w:rsidR="00003BA8" w:rsidRPr="001D41A5">
        <w:rPr>
          <w:rFonts w:ascii="Times New Roman" w:eastAsia="Times New Roman" w:hAnsi="Times New Roman" w:cs="Times New Roman"/>
          <w:sz w:val="24"/>
          <w:szCs w:val="24"/>
        </w:rPr>
        <w:t xml:space="preserve"> la</w:t>
      </w:r>
      <w:r w:rsidRPr="001D41A5">
        <w:rPr>
          <w:rFonts w:ascii="Times New Roman" w:eastAsia="Times New Roman" w:hAnsi="Times New Roman" w:cs="Times New Roman"/>
          <w:sz w:val="24"/>
          <w:szCs w:val="24"/>
        </w:rPr>
        <w:t xml:space="preserve"> verificación de cualidades y requisitos, y certificación, se le entregó por parte del Estado a los gremios de empresarios que se dedicaban al asunto del </w:t>
      </w:r>
      <w:r w:rsidRPr="001D41A5">
        <w:rPr>
          <w:rFonts w:ascii="Times New Roman" w:eastAsia="Times New Roman" w:hAnsi="Times New Roman" w:cs="Times New Roman"/>
          <w:sz w:val="24"/>
          <w:szCs w:val="24"/>
        </w:rPr>
        <w:lastRenderedPageBreak/>
        <w:t>avalúo, dejando en manos de ellos no sólo la administración de las listas, sino también la estipulación de las cualidades requeridas para entrar en la lista.</w:t>
      </w:r>
    </w:p>
    <w:p w14:paraId="0F131469"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6A02AED3" w14:textId="77777777" w:rsidR="00244F7E" w:rsidRPr="001D41A5" w:rsidRDefault="00BF19B4" w:rsidP="00025654">
      <w:pPr>
        <w:spacing w:before="69" w:line="480" w:lineRule="auto"/>
        <w:ind w:right="1"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Un asunto muy problemático ya que en eventos en los que la misma organización que suscribe las condiciones se encuentra verificando el cumplimiento de las mismas se pueden presentar ciertas irregularidades como por ejemplo permitir que personas o empresas sin el lleno de requisitos se encuentren enlistados y realizando avalúos en categorías en las cuales no deberían participar por sus cualidades académicas o empíricas, como por ejemplo la categoría de avalúo de predios rurales.</w:t>
      </w:r>
    </w:p>
    <w:p w14:paraId="03F9B4B7"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1D967EB7" w14:textId="77777777" w:rsidR="00244F7E" w:rsidRPr="001D41A5" w:rsidRDefault="00BF19B4" w:rsidP="00025654">
      <w:pPr>
        <w:spacing w:before="69" w:line="480" w:lineRule="auto"/>
        <w:ind w:left="8"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actividad del avaluador se ha confundido con las diversas capacidades que tienen otros profesionales como ingenieros civiles o arquitectos, ambos necesarios para la actividad de la construcción y el diseño, la ejecución como tal del proyecto, pero que pueden no estar capacitados y/o actualizados profundamente en la metodología concreta de la realización de avalúos.</w:t>
      </w:r>
    </w:p>
    <w:p w14:paraId="3187E8BB" w14:textId="77777777"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45F814E4" w14:textId="77777777" w:rsidR="00244F7E" w:rsidRPr="001D41A5" w:rsidRDefault="00BF19B4" w:rsidP="00025654">
      <w:pPr>
        <w:spacing w:before="69" w:line="480" w:lineRule="auto"/>
        <w:ind w:left="7" w:right="2"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Esa metodología es la que comenzó a describir la Resolución 762 (1998), con sus estipulaciones sobre los métodos de: comparación; capitalización de rentas; costo de reposición; y la técnica residual. Y también con el aporte de los conceptos de la depreciación, la clasificación del suelo, y todas las reglas concernientes a la práctica de avalúos en general.</w:t>
      </w:r>
    </w:p>
    <w:p w14:paraId="59464931" w14:textId="42625890" w:rsidR="00244F7E" w:rsidRPr="001D41A5" w:rsidRDefault="00244F7E" w:rsidP="00025654">
      <w:pPr>
        <w:spacing w:line="480" w:lineRule="auto"/>
        <w:ind w:firstLine="720"/>
        <w:jc w:val="both"/>
        <w:rPr>
          <w:rFonts w:ascii="Times New Roman" w:eastAsia="Times New Roman" w:hAnsi="Times New Roman" w:cs="Times New Roman"/>
          <w:sz w:val="24"/>
          <w:szCs w:val="24"/>
        </w:rPr>
      </w:pPr>
    </w:p>
    <w:p w14:paraId="7367E571" w14:textId="097630ED" w:rsidR="0072218E" w:rsidRPr="001D41A5" w:rsidRDefault="000F74F5"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No fue sino hasta la expedición de la Ley 1673 (2013) que se definió el concepto y se incorporaron otros términos importantes para diferenciar, tomados textualmente de su artículo 3 se tienen los siguientes (2013):</w:t>
      </w:r>
    </w:p>
    <w:p w14:paraId="163FA5EE" w14:textId="77777777" w:rsidR="002472B8" w:rsidRPr="001D41A5" w:rsidRDefault="002472B8" w:rsidP="00025654">
      <w:pPr>
        <w:spacing w:line="480" w:lineRule="auto"/>
        <w:ind w:firstLine="720"/>
        <w:jc w:val="both"/>
        <w:rPr>
          <w:rFonts w:ascii="Times New Roman" w:eastAsia="Times New Roman" w:hAnsi="Times New Roman" w:cs="Times New Roman"/>
          <w:sz w:val="24"/>
          <w:szCs w:val="24"/>
        </w:rPr>
      </w:pPr>
    </w:p>
    <w:p w14:paraId="78398B70" w14:textId="22CD46EC" w:rsidR="0072218E" w:rsidRPr="001D41A5" w:rsidRDefault="000F74F5" w:rsidP="00025654">
      <w:pPr>
        <w:pStyle w:val="Prrafodelista"/>
        <w:numPr>
          <w:ilvl w:val="0"/>
          <w:numId w:val="7"/>
        </w:num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bCs/>
          <w:sz w:val="24"/>
          <w:szCs w:val="24"/>
        </w:rPr>
        <w:lastRenderedPageBreak/>
        <w:t>Valuación:</w:t>
      </w:r>
      <w:r w:rsidRPr="001D41A5">
        <w:rPr>
          <w:rFonts w:ascii="Times New Roman" w:eastAsia="Times New Roman" w:hAnsi="Times New Roman" w:cs="Times New Roman"/>
          <w:sz w:val="24"/>
          <w:szCs w:val="24"/>
        </w:rPr>
        <w:t xml:space="preserve"> Es la actividad, por medio de la cual se determina el valor de un bien, de conformidad con los métodos, técnicas, actuaciones, criterios y herramientas que se consideren necesarios y pertinentes para el dictamen. El dictamen de la valuación se denomina avalúo</w:t>
      </w:r>
      <w:r w:rsidR="0072218E" w:rsidRPr="001D41A5">
        <w:rPr>
          <w:rFonts w:ascii="Times New Roman" w:eastAsia="Times New Roman" w:hAnsi="Times New Roman" w:cs="Times New Roman"/>
          <w:sz w:val="24"/>
          <w:szCs w:val="24"/>
        </w:rPr>
        <w:t>.</w:t>
      </w:r>
    </w:p>
    <w:p w14:paraId="38268CB3" w14:textId="77777777" w:rsidR="002472B8" w:rsidRPr="001D41A5" w:rsidRDefault="002472B8" w:rsidP="002472B8">
      <w:pPr>
        <w:pStyle w:val="Prrafodelista"/>
        <w:spacing w:line="480" w:lineRule="auto"/>
        <w:ind w:left="1440"/>
        <w:jc w:val="both"/>
        <w:rPr>
          <w:rFonts w:ascii="Times New Roman" w:eastAsia="Times New Roman" w:hAnsi="Times New Roman" w:cs="Times New Roman"/>
          <w:sz w:val="24"/>
          <w:szCs w:val="24"/>
        </w:rPr>
      </w:pPr>
    </w:p>
    <w:p w14:paraId="2EED570D" w14:textId="39F07503" w:rsidR="000F74F5" w:rsidRPr="001D41A5" w:rsidRDefault="000F74F5" w:rsidP="00025654">
      <w:pPr>
        <w:pStyle w:val="Prrafodelista"/>
        <w:numPr>
          <w:ilvl w:val="0"/>
          <w:numId w:val="7"/>
        </w:num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bCs/>
          <w:sz w:val="24"/>
          <w:szCs w:val="24"/>
        </w:rPr>
        <w:t>Avalúo Corporativo:</w:t>
      </w:r>
      <w:r w:rsidRPr="001D41A5">
        <w:rPr>
          <w:rFonts w:ascii="Times New Roman" w:eastAsia="Times New Roman" w:hAnsi="Times New Roman" w:cs="Times New Roman"/>
          <w:sz w:val="24"/>
          <w:szCs w:val="24"/>
        </w:rPr>
        <w:t xml:space="preserve"> Es el avalúo que realiza un gremio o lonja de propiedad raíz con la participación colegiada de sus agremiados</w:t>
      </w:r>
      <w:r w:rsidR="0072218E" w:rsidRPr="001D41A5">
        <w:rPr>
          <w:rFonts w:ascii="Times New Roman" w:eastAsia="Times New Roman" w:hAnsi="Times New Roman" w:cs="Times New Roman"/>
          <w:sz w:val="24"/>
          <w:szCs w:val="24"/>
        </w:rPr>
        <w:t>.</w:t>
      </w:r>
    </w:p>
    <w:p w14:paraId="357A4C27" w14:textId="77777777" w:rsidR="002472B8" w:rsidRPr="001D41A5" w:rsidRDefault="002472B8" w:rsidP="002472B8">
      <w:pPr>
        <w:pStyle w:val="Prrafodelista"/>
        <w:rPr>
          <w:rFonts w:ascii="Times New Roman" w:eastAsia="Times New Roman" w:hAnsi="Times New Roman" w:cs="Times New Roman"/>
          <w:sz w:val="24"/>
          <w:szCs w:val="24"/>
        </w:rPr>
      </w:pPr>
    </w:p>
    <w:p w14:paraId="58C5C097" w14:textId="77777777" w:rsidR="002472B8" w:rsidRPr="001D41A5" w:rsidRDefault="002472B8" w:rsidP="002472B8">
      <w:pPr>
        <w:pStyle w:val="Prrafodelista"/>
        <w:spacing w:line="480" w:lineRule="auto"/>
        <w:ind w:left="1440"/>
        <w:jc w:val="both"/>
        <w:rPr>
          <w:rFonts w:ascii="Times New Roman" w:eastAsia="Times New Roman" w:hAnsi="Times New Roman" w:cs="Times New Roman"/>
          <w:sz w:val="24"/>
          <w:szCs w:val="24"/>
        </w:rPr>
      </w:pPr>
    </w:p>
    <w:p w14:paraId="6A8F5D21" w14:textId="10D0479F" w:rsidR="0072218E" w:rsidRPr="001D41A5" w:rsidRDefault="000F74F5" w:rsidP="00025654">
      <w:pPr>
        <w:pStyle w:val="Prrafodelista"/>
        <w:numPr>
          <w:ilvl w:val="0"/>
          <w:numId w:val="6"/>
        </w:num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bCs/>
          <w:sz w:val="24"/>
          <w:szCs w:val="24"/>
        </w:rPr>
        <w:t>Avaluador:</w:t>
      </w:r>
      <w:r w:rsidRPr="001D41A5">
        <w:rPr>
          <w:rFonts w:ascii="Times New Roman" w:eastAsia="Times New Roman" w:hAnsi="Times New Roman" w:cs="Times New Roman"/>
          <w:sz w:val="24"/>
          <w:szCs w:val="24"/>
        </w:rPr>
        <w:t xml:space="preserve"> Persona natural, que posee la formación debidamente reconocida para llevar a cabo la valuación de un tipo de bienes y que se encuentra inscrita ante el Registro Abierto de Avaluadores</w:t>
      </w:r>
      <w:r w:rsidR="0072218E" w:rsidRPr="001D41A5">
        <w:rPr>
          <w:rFonts w:ascii="Times New Roman" w:eastAsia="Times New Roman" w:hAnsi="Times New Roman" w:cs="Times New Roman"/>
          <w:sz w:val="24"/>
          <w:szCs w:val="24"/>
        </w:rPr>
        <w:t>.</w:t>
      </w:r>
    </w:p>
    <w:p w14:paraId="21584F18" w14:textId="77777777" w:rsidR="002472B8" w:rsidRPr="001D41A5" w:rsidRDefault="002472B8" w:rsidP="002472B8">
      <w:pPr>
        <w:pStyle w:val="Prrafodelista"/>
        <w:spacing w:line="480" w:lineRule="auto"/>
        <w:ind w:left="1440"/>
        <w:jc w:val="both"/>
        <w:rPr>
          <w:rFonts w:ascii="Times New Roman" w:eastAsia="Times New Roman" w:hAnsi="Times New Roman" w:cs="Times New Roman"/>
          <w:sz w:val="24"/>
          <w:szCs w:val="24"/>
        </w:rPr>
      </w:pPr>
    </w:p>
    <w:p w14:paraId="5DB3C8A2" w14:textId="53DF0543" w:rsidR="0072218E" w:rsidRPr="001D41A5" w:rsidRDefault="000F74F5" w:rsidP="00025654">
      <w:pPr>
        <w:pStyle w:val="Prrafodelista"/>
        <w:numPr>
          <w:ilvl w:val="0"/>
          <w:numId w:val="6"/>
        </w:num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bCs/>
          <w:sz w:val="24"/>
          <w:szCs w:val="24"/>
        </w:rPr>
        <w:t>Registro Abierto de Avaluadores</w:t>
      </w:r>
      <w:r w:rsidRPr="001D41A5">
        <w:rPr>
          <w:rFonts w:ascii="Times New Roman" w:eastAsia="Times New Roman" w:hAnsi="Times New Roman" w:cs="Times New Roman"/>
          <w:sz w:val="24"/>
          <w:szCs w:val="24"/>
        </w:rPr>
        <w:t>: Protocolo a cargo de la Entidad Reconocida de Autorregulación de Avaluadores en donde se inscribe, conserva y actualiza información de los avaluadores, de conformidad con lo establecido en la presente ley</w:t>
      </w:r>
      <w:r w:rsidR="0072218E" w:rsidRPr="001D41A5">
        <w:rPr>
          <w:rFonts w:ascii="Times New Roman" w:eastAsia="Times New Roman" w:hAnsi="Times New Roman" w:cs="Times New Roman"/>
          <w:sz w:val="24"/>
          <w:szCs w:val="24"/>
        </w:rPr>
        <w:t>.</w:t>
      </w:r>
    </w:p>
    <w:p w14:paraId="16E85647" w14:textId="77777777" w:rsidR="002472B8" w:rsidRPr="001D41A5" w:rsidRDefault="002472B8" w:rsidP="002472B8">
      <w:pPr>
        <w:pStyle w:val="Prrafodelista"/>
        <w:rPr>
          <w:rFonts w:ascii="Times New Roman" w:eastAsia="Times New Roman" w:hAnsi="Times New Roman" w:cs="Times New Roman"/>
          <w:sz w:val="24"/>
          <w:szCs w:val="24"/>
        </w:rPr>
      </w:pPr>
    </w:p>
    <w:p w14:paraId="2DD9C85D" w14:textId="77777777" w:rsidR="002472B8" w:rsidRPr="001D41A5" w:rsidRDefault="002472B8" w:rsidP="002472B8">
      <w:pPr>
        <w:pStyle w:val="Prrafodelista"/>
        <w:spacing w:line="480" w:lineRule="auto"/>
        <w:ind w:left="1440"/>
        <w:jc w:val="both"/>
        <w:rPr>
          <w:rFonts w:ascii="Times New Roman" w:eastAsia="Times New Roman" w:hAnsi="Times New Roman" w:cs="Times New Roman"/>
          <w:sz w:val="24"/>
          <w:szCs w:val="24"/>
        </w:rPr>
      </w:pPr>
    </w:p>
    <w:p w14:paraId="7D3EDB93" w14:textId="38C44C66" w:rsidR="000F74F5" w:rsidRPr="001D41A5" w:rsidRDefault="000F74F5" w:rsidP="00025654">
      <w:pPr>
        <w:pStyle w:val="Prrafodelista"/>
        <w:numPr>
          <w:ilvl w:val="0"/>
          <w:numId w:val="6"/>
        </w:num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bCs/>
          <w:sz w:val="24"/>
          <w:szCs w:val="24"/>
        </w:rPr>
        <w:t>Sector Inmobiliario:</w:t>
      </w:r>
      <w:r w:rsidRPr="001D41A5">
        <w:rPr>
          <w:rFonts w:ascii="Times New Roman" w:eastAsia="Times New Roman" w:hAnsi="Times New Roman" w:cs="Times New Roman"/>
          <w:sz w:val="24"/>
          <w:szCs w:val="24"/>
        </w:rPr>
        <w:t xml:space="preserve"> Sector de la economía nacional compuesto por las actividades y servicios inmobiliarios que involucran las siguientes actividades: Valuación de todo tipo de inmuebles, venta o compra, administración, construcción, alquiler y/o arrendamiento de inmuebles, promoción y comercialización de proyectos inmobiliarios, consultoría inmobiliaria, entre otras actividades relacionadas con los anteriores negocios. (art. 3)</w:t>
      </w:r>
    </w:p>
    <w:p w14:paraId="6F7A9255" w14:textId="77777777" w:rsidR="000F74F5" w:rsidRPr="001D41A5" w:rsidRDefault="000F74F5" w:rsidP="00025654">
      <w:pPr>
        <w:spacing w:line="480" w:lineRule="auto"/>
        <w:ind w:firstLine="720"/>
        <w:jc w:val="both"/>
        <w:rPr>
          <w:rFonts w:ascii="Times New Roman" w:eastAsia="Times New Roman" w:hAnsi="Times New Roman" w:cs="Times New Roman"/>
          <w:sz w:val="24"/>
          <w:szCs w:val="24"/>
        </w:rPr>
      </w:pPr>
    </w:p>
    <w:p w14:paraId="2D05587C" w14:textId="5A8E3385" w:rsidR="00244F7E" w:rsidRPr="001D41A5" w:rsidRDefault="000F74F5" w:rsidP="00025654">
      <w:pP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 xml:space="preserve">Antes de la expedición de la Ley 1673 de 2013 los antecedentes normativos en Colombia sobre la actividad de los avaluadores es muy vaga.  </w:t>
      </w:r>
    </w:p>
    <w:p w14:paraId="41204638" w14:textId="68853C89"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32973C5" w14:textId="26DA2708" w:rsidR="00244F7E" w:rsidRPr="001D41A5" w:rsidRDefault="00C723FF" w:rsidP="00C723FF">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noProof/>
          <w:sz w:val="24"/>
          <w:szCs w:val="24"/>
        </w:rPr>
        <w:drawing>
          <wp:anchor distT="0" distB="0" distL="114300" distR="114300" simplePos="0" relativeHeight="251666944" behindDoc="0" locked="0" layoutInCell="1" hidden="0" allowOverlap="1" wp14:anchorId="745BAC3A" wp14:editId="45D9EFAE">
            <wp:simplePos x="0" y="0"/>
            <wp:positionH relativeFrom="margin">
              <wp:posOffset>-304800</wp:posOffset>
            </wp:positionH>
            <wp:positionV relativeFrom="margin">
              <wp:posOffset>4572000</wp:posOffset>
            </wp:positionV>
            <wp:extent cx="6048375" cy="4410075"/>
            <wp:effectExtent l="0" t="0" r="0" b="0"/>
            <wp:wrapSquare wrapText="bothSides" distT="0" distB="0" distL="114300" distR="114300"/>
            <wp:docPr id="13" name="Imagen 2"/>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a:srcRect/>
                    <a:stretch>
                      <a:fillRect/>
                    </a:stretch>
                  </pic:blipFill>
                  <pic:spPr>
                    <a:xfrm>
                      <a:off x="0" y="0"/>
                      <a:ext cx="6048375" cy="4410075"/>
                    </a:xfrm>
                    <a:prstGeom prst="rect">
                      <a:avLst/>
                    </a:prstGeom>
                    <a:ln/>
                  </pic:spPr>
                </pic:pic>
              </a:graphicData>
            </a:graphic>
            <wp14:sizeRelH relativeFrom="margin">
              <wp14:pctWidth>0</wp14:pctWidth>
            </wp14:sizeRelH>
            <wp14:sizeRelV relativeFrom="margin">
              <wp14:pctHeight>0</wp14:pctHeight>
            </wp14:sizeRelV>
          </wp:anchor>
        </w:drawing>
      </w:r>
      <w:r w:rsidR="00EB5CD7" w:rsidRPr="001D41A5">
        <w:rPr>
          <w:rFonts w:ascii="Times New Roman" w:hAnsi="Times New Roman" w:cs="Times New Roman"/>
          <w:noProof/>
          <w:sz w:val="24"/>
          <w:szCs w:val="24"/>
        </w:rPr>
        <mc:AlternateContent>
          <mc:Choice Requires="wps">
            <w:drawing>
              <wp:anchor distT="0" distB="0" distL="114300" distR="114300" simplePos="0" relativeHeight="251658240" behindDoc="0" locked="0" layoutInCell="1" allowOverlap="1" wp14:anchorId="325F4748" wp14:editId="28DFA56E">
                <wp:simplePos x="0" y="0"/>
                <wp:positionH relativeFrom="column">
                  <wp:posOffset>-688975</wp:posOffset>
                </wp:positionH>
                <wp:positionV relativeFrom="paragraph">
                  <wp:posOffset>1788795</wp:posOffset>
                </wp:positionV>
                <wp:extent cx="7136765" cy="283845"/>
                <wp:effectExtent l="0" t="0" r="0" b="0"/>
                <wp:wrapSquare wrapText="bothSides"/>
                <wp:docPr id="628781778" name="Rectá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36765" cy="283845"/>
                        </a:xfrm>
                        <a:prstGeom prst="rect">
                          <a:avLst/>
                        </a:prstGeom>
                        <a:solidFill>
                          <a:srgbClr val="FFFFFF"/>
                        </a:solidFill>
                        <a:ln>
                          <a:noFill/>
                        </a:ln>
                      </wps:spPr>
                      <wps:txbx>
                        <w:txbxContent>
                          <w:p w14:paraId="7DF7976F" w14:textId="77777777" w:rsidR="00244F7E" w:rsidRDefault="00BF19B4">
                            <w:pPr>
                              <w:spacing w:after="200"/>
                              <w:textDirection w:val="btLr"/>
                            </w:pPr>
                            <w:proofErr w:type="gramStart"/>
                            <w:r>
                              <w:rPr>
                                <w:i/>
                                <w:color w:val="1F497D"/>
                                <w:sz w:val="18"/>
                              </w:rPr>
                              <w:t>Ilustración  SEQ</w:t>
                            </w:r>
                            <w:proofErr w:type="gramEnd"/>
                            <w:r>
                              <w:rPr>
                                <w:i/>
                                <w:color w:val="1F497D"/>
                                <w:sz w:val="18"/>
                              </w:rPr>
                              <w:t xml:space="preserve"> Ilustración \* ARABIC 1</w:t>
                            </w:r>
                          </w:p>
                        </w:txbxContent>
                      </wps:txbx>
                      <wps:bodyPr spcFirstLastPara="1"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rect w14:anchorId="325F4748" id="Rectángulo 2" o:spid="_x0000_s1026" style="position:absolute;left:0;text-align:left;margin-left:-54.25pt;margin-top:140.85pt;width:561.95pt;height:22.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" stroked="f">
                <v:textbox inset="0,0,0,0">
                  <w:txbxContent>
                    <w:p w14:paraId="7DF7976F" w14:textId="77777777" w:rsidR="00244F7E" w:rsidRDefault="00BF19B4">
                      <w:pPr>
                        <w:spacing w:after="200"/>
                        <w:textDirection w:val="btLr"/>
                      </w:pPr>
                      <w:proofErr w:type="gramStart"/>
                      <w:r>
                        <w:rPr>
                          <w:i/>
                          <w:color w:val="1F497D"/>
                          <w:sz w:val="18"/>
                        </w:rPr>
                        <w:t>Ilustración  SEQ</w:t>
                      </w:r>
                      <w:proofErr w:type="gramEnd"/>
                      <w:r>
                        <w:rPr>
                          <w:i/>
                          <w:color w:val="1F497D"/>
                          <w:sz w:val="18"/>
                        </w:rPr>
                        <w:t xml:space="preserve"> Ilustración \* ARABIC 1</w:t>
                      </w:r>
                    </w:p>
                  </w:txbxContent>
                </v:textbox>
                <w10:wrap type="square"/>
              </v:rect>
            </w:pict>
          </mc:Fallback>
        </mc:AlternateContent>
      </w:r>
      <w:r w:rsidR="00BF19B4" w:rsidRPr="001D41A5">
        <w:rPr>
          <w:rFonts w:ascii="Times New Roman" w:eastAsia="Times New Roman" w:hAnsi="Times New Roman" w:cs="Times New Roman"/>
          <w:sz w:val="24"/>
          <w:szCs w:val="24"/>
        </w:rPr>
        <w:tab/>
        <w:t>Antes de comenzar un recorrido normativo específico y cronológico sobre el avalúo en Colombia, resulta interesante para los investigadores dar a conocer al lector la siguiente tabla que de manera juiciosa realizó Walter Castro de la Universidad Católica de Colombia sobre el sector inmobiliario (Peñuela, 2014, pág. 8)</w:t>
      </w:r>
    </w:p>
    <w:p w14:paraId="178C8A23" w14:textId="706271B7" w:rsidR="006B5C5B" w:rsidRPr="001D41A5" w:rsidRDefault="00BF19B4" w:rsidP="00C723FF">
      <w:pPr>
        <w:spacing w:before="70" w:line="480" w:lineRule="auto"/>
        <w:ind w:right="7"/>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Fuente:</w:t>
      </w:r>
      <w:r w:rsidRPr="001D41A5">
        <w:rPr>
          <w:rFonts w:ascii="Times New Roman" w:eastAsia="Times New Roman" w:hAnsi="Times New Roman" w:cs="Times New Roman"/>
          <w:b/>
          <w:sz w:val="24"/>
          <w:szCs w:val="24"/>
        </w:rPr>
        <w:t xml:space="preserve"> </w:t>
      </w:r>
      <w:r w:rsidRPr="001D41A5">
        <w:rPr>
          <w:rFonts w:ascii="Times New Roman" w:eastAsia="Times New Roman" w:hAnsi="Times New Roman" w:cs="Times New Roman"/>
          <w:sz w:val="24"/>
          <w:szCs w:val="24"/>
        </w:rPr>
        <w:t>(Peñuela, 2014, pág. 8)</w:t>
      </w:r>
    </w:p>
    <w:p w14:paraId="0BB16874" w14:textId="77777777" w:rsidR="008719E9" w:rsidRPr="001D41A5" w:rsidRDefault="008719E9" w:rsidP="00025654">
      <w:pPr>
        <w:spacing w:before="70" w:line="480" w:lineRule="auto"/>
        <w:ind w:right="7" w:firstLine="720"/>
        <w:jc w:val="both"/>
        <w:rPr>
          <w:rFonts w:ascii="Times New Roman" w:eastAsia="Times New Roman" w:hAnsi="Times New Roman" w:cs="Times New Roman"/>
          <w:b/>
          <w:sz w:val="24"/>
          <w:szCs w:val="24"/>
        </w:rPr>
      </w:pPr>
    </w:p>
    <w:p w14:paraId="2F4DDEA8"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15" w:name="_heading=h.2et92p0" w:colFirst="0" w:colLast="0"/>
      <w:bookmarkStart w:id="16" w:name="_Toc151281940"/>
      <w:bookmarkEnd w:id="15"/>
      <w:r w:rsidRPr="001D41A5">
        <w:rPr>
          <w:rFonts w:ascii="Times New Roman" w:eastAsia="Times New Roman" w:hAnsi="Times New Roman" w:cs="Times New Roman"/>
          <w:b/>
          <w:color w:val="000000"/>
          <w:sz w:val="24"/>
          <w:szCs w:val="24"/>
        </w:rPr>
        <w:t>Cronología del marco legal colombiano sobre el avalúo</w:t>
      </w:r>
      <w:bookmarkEnd w:id="16"/>
    </w:p>
    <w:p w14:paraId="5963A587"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5ED2055B"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El tema del avalúo, cuya base es el derecho de propiedad o dominio, no es un asunto que se encuentre regulado y desarrollado sólo en una Ley específica, o sólo en normas que emanan única y exclusivamente del ejecutivo o del legislativo; al contrario, al tratarse de brindar transparencia al valor de la propiedad, el asunto reviste una importancia que hasta es Constitucional, hasta la misma Corte Constitucional ha intervenido en el asunto.</w:t>
      </w:r>
    </w:p>
    <w:p w14:paraId="3A2461AE"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0C42016"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 avalúo de bienes inmuebles o inmobiliario en Colombia no se encuentra todo concentrado en una sola expresión normativa, ya que deben mencionarse y tenerse en cuenta aspectos tanto jurídicos como técnicos y económicos; los cuales en todo caso deben ser emitidos por diferentes instituciones que tengan el conocimiento y vocación precisamente para emitir conceptos y reglamentación con respecto a todos esos temas que rodean la administración y regulación del dominio privado y público de bienes inmuebles.</w:t>
      </w:r>
    </w:p>
    <w:p w14:paraId="1F0FB799"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390326A0"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En este sentido, el marco normativo presentado de forma cronológica del tema de avalúos inmobiliarios, es el siguiente:</w:t>
      </w:r>
    </w:p>
    <w:p w14:paraId="48ED8AE3"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5BF5FA3C" w14:textId="77777777" w:rsidR="00244F7E" w:rsidRPr="001D41A5" w:rsidRDefault="00BF19B4" w:rsidP="00025654">
      <w:pPr>
        <w:pStyle w:val="Ttulo3"/>
        <w:spacing w:line="480" w:lineRule="auto"/>
        <w:ind w:firstLine="720"/>
        <w:rPr>
          <w:rFonts w:ascii="Times New Roman" w:eastAsia="Times New Roman" w:hAnsi="Times New Roman" w:cs="Times New Roman"/>
          <w:b/>
          <w:color w:val="000000"/>
        </w:rPr>
      </w:pPr>
      <w:bookmarkStart w:id="17" w:name="_heading=h.tyjcwt" w:colFirst="0" w:colLast="0"/>
      <w:bookmarkStart w:id="18" w:name="_Toc151281941"/>
      <w:bookmarkEnd w:id="17"/>
      <w:r w:rsidRPr="001D41A5">
        <w:rPr>
          <w:rFonts w:ascii="Times New Roman" w:eastAsia="Times New Roman" w:hAnsi="Times New Roman" w:cs="Times New Roman"/>
          <w:b/>
          <w:color w:val="000000"/>
        </w:rPr>
        <w:t>Constitución Política de Colombia de 1991</w:t>
      </w:r>
      <w:bookmarkEnd w:id="18"/>
    </w:p>
    <w:p w14:paraId="068DAC7D"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041EDEFA"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 Estado se compone de unos elementos esenciales:</w:t>
      </w:r>
    </w:p>
    <w:p w14:paraId="2F5CCCB3"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1625CB7E" w14:textId="77777777" w:rsidR="00244F7E" w:rsidRPr="001D41A5" w:rsidRDefault="00BF19B4" w:rsidP="00025654">
      <w:pPr>
        <w:numPr>
          <w:ilvl w:val="0"/>
          <w:numId w:val="3"/>
        </w:numPr>
        <w:pBdr>
          <w:top w:val="nil"/>
          <w:left w:val="nil"/>
          <w:bottom w:val="nil"/>
          <w:right w:val="nil"/>
          <w:between w:val="nil"/>
        </w:pBd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Población:</w:t>
      </w:r>
      <w:r w:rsidRPr="001D41A5">
        <w:rPr>
          <w:rFonts w:ascii="Times New Roman" w:eastAsia="Times New Roman" w:hAnsi="Times New Roman" w:cs="Times New Roman"/>
          <w:sz w:val="24"/>
          <w:szCs w:val="24"/>
        </w:rPr>
        <w:t xml:space="preserve"> que representa el componente humano, es decir, todos los ciudadanos o personas naturales que componen y residen en el territorio Nacional.</w:t>
      </w:r>
    </w:p>
    <w:p w14:paraId="42FC59CB" w14:textId="77777777" w:rsidR="00244F7E" w:rsidRPr="001D41A5" w:rsidRDefault="00BF19B4" w:rsidP="00025654">
      <w:pPr>
        <w:numPr>
          <w:ilvl w:val="0"/>
          <w:numId w:val="3"/>
        </w:numPr>
        <w:pBdr>
          <w:top w:val="nil"/>
          <w:left w:val="nil"/>
          <w:bottom w:val="nil"/>
          <w:right w:val="nil"/>
          <w:between w:val="nil"/>
        </w:pBdr>
        <w:spacing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 xml:space="preserve">Soberanía: </w:t>
      </w:r>
      <w:r w:rsidRPr="001D41A5">
        <w:rPr>
          <w:rFonts w:ascii="Times New Roman" w:eastAsia="Times New Roman" w:hAnsi="Times New Roman" w:cs="Times New Roman"/>
          <w:sz w:val="24"/>
          <w:szCs w:val="24"/>
        </w:rPr>
        <w:t xml:space="preserve">es el ejercicio del poder, que para el caso colombiano reside en cabeza del pueblo, del elemento humano completo, no categorizado o dividido. </w:t>
      </w:r>
      <w:r w:rsidRPr="001D41A5">
        <w:rPr>
          <w:rFonts w:ascii="Times New Roman" w:eastAsia="Times New Roman" w:hAnsi="Times New Roman" w:cs="Times New Roman"/>
          <w:sz w:val="24"/>
          <w:szCs w:val="24"/>
        </w:rPr>
        <w:lastRenderedPageBreak/>
        <w:t>A su vez la soberanía también se refiere justamente a ese ejercicio del poder e independencia a nivel internacional con respecto a otros Estados.</w:t>
      </w:r>
    </w:p>
    <w:p w14:paraId="660DA35A" w14:textId="77777777" w:rsidR="00244F7E" w:rsidRPr="001D41A5" w:rsidRDefault="00BF19B4" w:rsidP="00025654">
      <w:pPr>
        <w:numPr>
          <w:ilvl w:val="0"/>
          <w:numId w:val="3"/>
        </w:numPr>
        <w:pBdr>
          <w:top w:val="nil"/>
          <w:left w:val="nil"/>
          <w:bottom w:val="nil"/>
          <w:right w:val="nil"/>
          <w:between w:val="nil"/>
        </w:pBdr>
        <w:spacing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Territorio:</w:t>
      </w:r>
      <w:r w:rsidRPr="001D41A5">
        <w:rPr>
          <w:rFonts w:ascii="Times New Roman" w:eastAsia="Times New Roman" w:hAnsi="Times New Roman" w:cs="Times New Roman"/>
          <w:sz w:val="24"/>
          <w:szCs w:val="24"/>
        </w:rPr>
        <w:t xml:space="preserve"> que precisamente es el espacio físico en el que se asienta una comunidad, que a su vez se divide con respecto a la misma.</w:t>
      </w:r>
    </w:p>
    <w:p w14:paraId="34408F09"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BBC0FDB"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 elemento territorial tiene diversas dimensiones como: el espacio aéreo; el espacio electromagnético; el suelo y subsuelo; el mar territorial; las fuentes hídricas; entre otras. Como también la protección del territorio público y el privado. Sin alguno de los elementos antes mencionados no existiría Estado. Por lo anterior que, desde la misma Constitución Política (1991), se ha decidido determinar cuál es el espacio que ocupamos los colombianos, según lo dispuesto en el artículo 91, y se ha decidido otorgar el dominio sobre el territorio y los bienes de uso público a la Nación, según el artículo 102.</w:t>
      </w:r>
    </w:p>
    <w:p w14:paraId="68B91840"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1FE44B55"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También ratifica la protección a la propiedad privada; así lo dispone en el artículo 58 (1991), garantizando su acceso y siguiendo la línea de incluir en su máxima expresión el territorio a la Carta Política para así demostrar el elemento esencial y también para confirmar la supremacía del Estado frente a este elemento, pues seguidamente se limita la propiedad privada, ya que por motivos o bien de utilidad pública, o de interés social, el Estado tiene la posibilidad de expropiar por vía administrativa o judicial.</w:t>
      </w:r>
    </w:p>
    <w:p w14:paraId="142ACDEE"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492AD2F7" w14:textId="77777777" w:rsidR="00244F7E" w:rsidRPr="001D41A5" w:rsidRDefault="00BF19B4" w:rsidP="00025654">
      <w:pPr>
        <w:pStyle w:val="Ttulo3"/>
        <w:spacing w:line="480" w:lineRule="auto"/>
        <w:ind w:firstLine="720"/>
        <w:rPr>
          <w:rFonts w:ascii="Times New Roman" w:eastAsia="Times New Roman" w:hAnsi="Times New Roman" w:cs="Times New Roman"/>
          <w:b/>
          <w:color w:val="000000"/>
        </w:rPr>
      </w:pPr>
      <w:bookmarkStart w:id="19" w:name="_heading=h.3dy6vkm" w:colFirst="0" w:colLast="0"/>
      <w:bookmarkStart w:id="20" w:name="_Toc151281942"/>
      <w:bookmarkEnd w:id="19"/>
      <w:r w:rsidRPr="001D41A5">
        <w:rPr>
          <w:rFonts w:ascii="Times New Roman" w:eastAsia="Times New Roman" w:hAnsi="Times New Roman" w:cs="Times New Roman"/>
          <w:b/>
          <w:color w:val="000000"/>
        </w:rPr>
        <w:t>Ley 84 de 1873 (Código Civil de Colombia)</w:t>
      </w:r>
      <w:bookmarkEnd w:id="20"/>
    </w:p>
    <w:p w14:paraId="0AEC2DB8"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1A2931C"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De forma más específica, la Ley 84, más conocida como el Código Civil o CC (1873), en su título sobre las varias clases de bienes, clasifica los mismos en cosas corporales e </w:t>
      </w:r>
      <w:r w:rsidRPr="001D41A5">
        <w:rPr>
          <w:rFonts w:ascii="Times New Roman" w:eastAsia="Times New Roman" w:hAnsi="Times New Roman" w:cs="Times New Roman"/>
          <w:sz w:val="24"/>
          <w:szCs w:val="24"/>
        </w:rPr>
        <w:lastRenderedPageBreak/>
        <w:t>incorporales, que a su vez se subdividen en muebles e inmuebles, últimos que también se subdividen.</w:t>
      </w:r>
    </w:p>
    <w:p w14:paraId="74F2538A"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0F7BC215"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El artículo 656 del CC (1873) no describe específicamente a que se refiere con el concepto de bien inmueble, luego podemos encontrar que el diccionario de la Real Academia de la Lengua Española, los define como “Tierras, edificios, caminos, construcciones y minas, junto con los adornos o artefactos incorporados, así como los derechos a los cuales atribuye la Ley esta consideración” (Real Academia de la Lengua Española, 2023, pág. 1); definición que se puede acoger desde la práctica jurídica colombiana.</w:t>
      </w:r>
    </w:p>
    <w:p w14:paraId="19D1574E"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0F0EFD3E"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El artículo no define realmente el concepto, según el mismo los inmuebles son cosas que no son susceptibles de transportarse, pero si comienza a clasificar los inmuebles en dos: los que son inmuebles por su naturaleza misma; y los que por el uso se convierten en inmuebles, por un registro o por adhesión. Hay que ser precisos en que el artículo 658 expone una categoría extra que se presenta, expone, en el caso de las plantaciones, que pueden ser consideradas o bien muebles o inmuebles según el estado en el que se encuentren (Congreso de la República de Colombia, 1873, pág. Artículo 658).</w:t>
      </w:r>
    </w:p>
    <w:p w14:paraId="4D15E5F3"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5C237E7B"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En específico este artículo 658 del CC se refiere a que (1873):</w:t>
      </w:r>
    </w:p>
    <w:p w14:paraId="58B82167" w14:textId="77777777" w:rsidR="00244F7E" w:rsidRPr="001D41A5" w:rsidRDefault="00BF19B4" w:rsidP="00025654">
      <w:pPr>
        <w:spacing w:before="70" w:line="480" w:lineRule="auto"/>
        <w:ind w:left="144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inmuebles o bienes raíces son las cosas que no pueden transportarse de un lugar a otro; como las tierras o minas, y las que se adhieren permanentemente a ellas, como los edificios, los árboles. Las casas y veredas se llaman predios o fundos. (art. 658)</w:t>
      </w:r>
    </w:p>
    <w:p w14:paraId="2AE65BC3"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41E403D7" w14:textId="38F8486B" w:rsidR="00244F7E" w:rsidRPr="001D41A5" w:rsidRDefault="00BF19B4" w:rsidP="00025654">
      <w:pPr>
        <w:pStyle w:val="Ttulo3"/>
        <w:spacing w:line="480" w:lineRule="auto"/>
        <w:ind w:firstLine="720"/>
        <w:rPr>
          <w:rFonts w:ascii="Times New Roman" w:eastAsia="Times New Roman" w:hAnsi="Times New Roman" w:cs="Times New Roman"/>
          <w:b/>
          <w:color w:val="000000"/>
        </w:rPr>
      </w:pPr>
      <w:bookmarkStart w:id="21" w:name="_heading=h.1t3h5sf" w:colFirst="0" w:colLast="0"/>
      <w:bookmarkStart w:id="22" w:name="_Toc151281943"/>
      <w:bookmarkEnd w:id="21"/>
      <w:r w:rsidRPr="001D41A5">
        <w:rPr>
          <w:rFonts w:ascii="Times New Roman" w:eastAsia="Times New Roman" w:hAnsi="Times New Roman" w:cs="Times New Roman"/>
          <w:b/>
          <w:color w:val="000000"/>
        </w:rPr>
        <w:lastRenderedPageBreak/>
        <w:t>Ley 388 de 1997</w:t>
      </w:r>
      <w:bookmarkEnd w:id="22"/>
    </w:p>
    <w:p w14:paraId="6374153D"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775F9F98"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Por su parte la Ley 388 de 1997 (1997), por medio de la cual se reglamenta y modifican apartados normativos diseñados por la Ley 9 de 1989, destacando su aporte a la introducción de un procedimiento administrativo dirigido a la práctica de la enajenación voluntaria y por otro lado una forzosa, siendo más específica, señaló la indemnización a la que tienen derecho los propietarios afectados por estas obras sociales, señalando una forma de pago que en todo tiene que ver con el avalúo, por determinarse a partir del valor del inmueble.</w:t>
      </w:r>
    </w:p>
    <w:p w14:paraId="2A7A93A4"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3B7EB326"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Retomando lo expuesto en el artículo 82 de la Constitución Política (1991), se parte de que todas aquellas actuaciones urbanísticas realizadas por el sector público o privado, entendidas como obras que ejecutan por ejemplo vías, aeropuertos, puertos, edificios, entre otros; generan un beneficio que incrementa el valor del suelo, y a su vez afecta de manera positiva a los predios o construcciones aledañas, fenómeno económico conocido como plusvalía.</w:t>
      </w:r>
    </w:p>
    <w:p w14:paraId="06AB97F8"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7FF1AC6D"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Al generarse un beneficio en el suelo, este mismo se ve reflejado de manera inmediata en un incremento en el valor de los impuestos asociados al dominio del inmueble, otorgando el derecho a las entidades territoriales de disponer de esos recursos captados adicionales en la ejecución del principio constitucional a la inversión pública, es decir, participación en la plusvalía.</w:t>
      </w:r>
    </w:p>
    <w:p w14:paraId="7570DFA9"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06413F39"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De acuerdo al artículo 75 de esta Ley 388 de 1997 (1997), existen hechos que son generadores de participación en la plusvalía, de acuerdo al POT, EOT, y demás decretos </w:t>
      </w:r>
      <w:r w:rsidRPr="001D41A5">
        <w:rPr>
          <w:rFonts w:ascii="Times New Roman" w:eastAsia="Times New Roman" w:hAnsi="Times New Roman" w:cs="Times New Roman"/>
          <w:sz w:val="24"/>
          <w:szCs w:val="24"/>
        </w:rPr>
        <w:lastRenderedPageBreak/>
        <w:t>municipales o distritales que intervengan en el asunto, y estos son los hechos, derivados de la misma norma (1997):</w:t>
      </w:r>
    </w:p>
    <w:p w14:paraId="102325AF"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F6951FD" w14:textId="77777777" w:rsidR="00244F7E" w:rsidRPr="001D41A5" w:rsidRDefault="00BF19B4" w:rsidP="00025654">
      <w:pPr>
        <w:numPr>
          <w:ilvl w:val="0"/>
          <w:numId w:val="4"/>
        </w:numPr>
        <w:pBdr>
          <w:top w:val="nil"/>
          <w:left w:val="nil"/>
          <w:bottom w:val="nil"/>
          <w:right w:val="nil"/>
          <w:between w:val="nil"/>
        </w:pBd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incorporación de suelo rural o suelo de expansión urbana o la consideración de parte del suelo rural como suburbano.</w:t>
      </w:r>
    </w:p>
    <w:p w14:paraId="767B1F37" w14:textId="77777777" w:rsidR="00244F7E" w:rsidRPr="001D41A5" w:rsidRDefault="00BF19B4" w:rsidP="00025654">
      <w:pPr>
        <w:numPr>
          <w:ilvl w:val="0"/>
          <w:numId w:val="4"/>
        </w:numPr>
        <w:pBdr>
          <w:top w:val="nil"/>
          <w:left w:val="nil"/>
          <w:bottom w:val="nil"/>
          <w:right w:val="nil"/>
          <w:between w:val="nil"/>
        </w:pBdr>
        <w:spacing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 establecimiento o modificación del régimen o la zonificación de usos del suelo.</w:t>
      </w:r>
    </w:p>
    <w:p w14:paraId="6C6965AF" w14:textId="77777777" w:rsidR="00244F7E" w:rsidRPr="001D41A5" w:rsidRDefault="00BF19B4" w:rsidP="00025654">
      <w:pPr>
        <w:numPr>
          <w:ilvl w:val="0"/>
          <w:numId w:val="4"/>
        </w:numPr>
        <w:pBdr>
          <w:top w:val="nil"/>
          <w:left w:val="nil"/>
          <w:bottom w:val="nil"/>
          <w:right w:val="nil"/>
          <w:between w:val="nil"/>
        </w:pBdr>
        <w:spacing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autorización de un mayor aprovechamiento del suelo en edificación, bien sea elevando el índice de ocupación o el índice de construcción, o ambos a la vez.</w:t>
      </w:r>
    </w:p>
    <w:p w14:paraId="226EC936"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0F29DFFB"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misma Ley 388 (1997) establece que el acto administrativo que aprueba la participación en la plusvalía, no podrá producirse después de seis meses de concluidas las obras, pues debe ser la administración local territorial la que determina el valor promedio del aumento en el valor de la tierra, es decir la plusvalía, que se obtuvo por metro cuadrado como consecuencia del desarrollo de la obra ejecutada, valor que puede calcularse antes o durante la ejecución del proyecto.</w:t>
      </w:r>
    </w:p>
    <w:p w14:paraId="54825EF9"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882588A" w14:textId="0D2F0194"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Debido a las expresiones normativas creadas </w:t>
      </w:r>
      <w:r w:rsidR="004B6E5E" w:rsidRPr="001D41A5">
        <w:rPr>
          <w:rFonts w:ascii="Times New Roman" w:eastAsia="Times New Roman" w:hAnsi="Times New Roman" w:cs="Times New Roman"/>
          <w:sz w:val="24"/>
          <w:szCs w:val="24"/>
        </w:rPr>
        <w:t>por</w:t>
      </w:r>
      <w:r w:rsidRPr="001D41A5">
        <w:rPr>
          <w:rFonts w:ascii="Times New Roman" w:eastAsia="Times New Roman" w:hAnsi="Times New Roman" w:cs="Times New Roman"/>
          <w:sz w:val="24"/>
          <w:szCs w:val="24"/>
        </w:rPr>
        <w:t xml:space="preserve"> la Ley 388 de 1997, inspiradas en lo contenido en la Constitución Política de 1991, que dieron importancia al avalúo inmobiliario, se comenzó a gestar toda una oleada de nueva normativa; una variedad de decretos que intentaron continuar con la regulación y formalización de los conceptos inmobiliarios como el avalúo inmobiliario, desde luego y principalmente enfocados a la administración pública, algunos de esos decretos que soportaron y continuaron la línea de regulación para temas inmobiliarios son:</w:t>
      </w:r>
    </w:p>
    <w:p w14:paraId="2B8B770F"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0633485" w14:textId="77777777" w:rsidR="00244F7E" w:rsidRPr="001D41A5" w:rsidRDefault="00BF19B4" w:rsidP="00025654">
      <w:pPr>
        <w:pStyle w:val="Ttulo3"/>
        <w:spacing w:line="480" w:lineRule="auto"/>
        <w:ind w:firstLine="720"/>
        <w:rPr>
          <w:rFonts w:ascii="Times New Roman" w:eastAsia="Times New Roman" w:hAnsi="Times New Roman" w:cs="Times New Roman"/>
          <w:b/>
          <w:color w:val="000000"/>
        </w:rPr>
      </w:pPr>
      <w:bookmarkStart w:id="23" w:name="_heading=h.4d34og8" w:colFirst="0" w:colLast="0"/>
      <w:bookmarkStart w:id="24" w:name="_Toc151281944"/>
      <w:bookmarkEnd w:id="23"/>
      <w:r w:rsidRPr="001D41A5">
        <w:rPr>
          <w:rFonts w:ascii="Times New Roman" w:eastAsia="Times New Roman" w:hAnsi="Times New Roman" w:cs="Times New Roman"/>
          <w:b/>
          <w:color w:val="000000"/>
        </w:rPr>
        <w:t>Decreto 2150 de 1995</w:t>
      </w:r>
      <w:bookmarkEnd w:id="24"/>
    </w:p>
    <w:p w14:paraId="18E2A364"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49A2FB55"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Por medio de esta expresión normativa (1995) se reformaron los trámites relacionados que se consideraban además innecesarios para la administración pública. En su artículo 27 el decreto (1995) menciona </w:t>
      </w:r>
      <w:proofErr w:type="gramStart"/>
      <w:r w:rsidRPr="001D41A5">
        <w:rPr>
          <w:rFonts w:ascii="Times New Roman" w:eastAsia="Times New Roman" w:hAnsi="Times New Roman" w:cs="Times New Roman"/>
          <w:sz w:val="24"/>
          <w:szCs w:val="24"/>
        </w:rPr>
        <w:t>que</w:t>
      </w:r>
      <w:proofErr w:type="gramEnd"/>
      <w:r w:rsidRPr="001D41A5">
        <w:rPr>
          <w:rFonts w:ascii="Times New Roman" w:eastAsia="Times New Roman" w:hAnsi="Times New Roman" w:cs="Times New Roman"/>
          <w:sz w:val="24"/>
          <w:szCs w:val="24"/>
        </w:rPr>
        <w:t xml:space="preserve"> en los casos de avalúos inmobiliarios necesarios para las diferentes entidades públicas, los mismos podían ser ejecutados por cualquier persona, denominado ya avaluador, que estuviese debidamente inscrito y autorizado por parte de la Lonja que se encontrara más cerca al inmueble objeto del avalúo. También el decreto (1995) menciona la posibilidad que tienen las personas jurídicas también debidamente inscritas y habilitadas, como el IGAC de ejecutar los avalúos de inmuebles. Las personas deben estar inscrita y autorizada por parte de la Lonja de donde se encuentre físicamente el inmueble.</w:t>
      </w:r>
    </w:p>
    <w:p w14:paraId="0C90DB13"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C3130A9"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Así entonces si el avaluador se encuentra inscrito y autorizado por una Lonja en la ciudad de Medellín, pero debe realizar una diligencia de valoración en la ciudad de Barranquilla o Cali, debe estar también tanto inscrito como autorizado en una de las Lonjas debidamente creadas de esos municipios, con el fin de que su dictamen tenga validez. En el mismo sentido opera la lógica de la ejecución de avalúos administrativos por parte de personas jurídicas, las mismas deben residir en el lugar donde se encuentre el bien. </w:t>
      </w:r>
    </w:p>
    <w:p w14:paraId="7624852E"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721621FB" w14:textId="77777777" w:rsidR="00244F7E" w:rsidRPr="001D41A5" w:rsidRDefault="00BF19B4" w:rsidP="00025654">
      <w:pPr>
        <w:pStyle w:val="Ttulo3"/>
        <w:spacing w:line="480" w:lineRule="auto"/>
        <w:ind w:firstLine="720"/>
        <w:rPr>
          <w:rFonts w:ascii="Times New Roman" w:eastAsia="Times New Roman" w:hAnsi="Times New Roman" w:cs="Times New Roman"/>
          <w:b/>
          <w:color w:val="000000"/>
        </w:rPr>
      </w:pPr>
      <w:bookmarkStart w:id="25" w:name="_heading=h.2s8eyo1" w:colFirst="0" w:colLast="0"/>
      <w:bookmarkStart w:id="26" w:name="_Toc151281945"/>
      <w:bookmarkEnd w:id="25"/>
      <w:r w:rsidRPr="001D41A5">
        <w:rPr>
          <w:rFonts w:ascii="Times New Roman" w:eastAsia="Times New Roman" w:hAnsi="Times New Roman" w:cs="Times New Roman"/>
          <w:b/>
          <w:color w:val="000000"/>
        </w:rPr>
        <w:t>Decreto 1420 de 1998</w:t>
      </w:r>
      <w:bookmarkEnd w:id="26"/>
    </w:p>
    <w:p w14:paraId="56228627"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05817CA2"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No se puede hablar de que la normativa existente hasta este momento haya desarrollado a cabalidad el tema de los avalúos en Colombia, por lo que siempre se hizo necesario que se </w:t>
      </w:r>
      <w:r w:rsidRPr="001D41A5">
        <w:rPr>
          <w:rFonts w:ascii="Times New Roman" w:eastAsia="Times New Roman" w:hAnsi="Times New Roman" w:cs="Times New Roman"/>
          <w:sz w:val="24"/>
          <w:szCs w:val="24"/>
        </w:rPr>
        <w:lastRenderedPageBreak/>
        <w:t>destinaran esfuerzos a la expedición de una norma en concreto sobre la actividad de avaluar inmuebles, pues cada vez se hacía más necesario que no se dejaran vacíos al asunto y poder tener claridad sobre el proceso, que bien importante es para la sociedad como se ha descrito anteriormente.</w:t>
      </w:r>
    </w:p>
    <w:p w14:paraId="53970CFF"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64DA6AAD" w14:textId="1A4595D8"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 el Decreto 1420 (1998) la primera expresión normativa que aborda de forma amplia los avalúos inmobiliarios; en su clausulado señala conceptos, procedimientos, parámetros y criterios para determinar el valor comercial de los inmuebles.</w:t>
      </w:r>
    </w:p>
    <w:p w14:paraId="7A924646" w14:textId="77777777" w:rsidR="002472B8" w:rsidRPr="001D41A5" w:rsidRDefault="002472B8" w:rsidP="00025654">
      <w:pPr>
        <w:spacing w:before="70" w:line="480" w:lineRule="auto"/>
        <w:ind w:right="7" w:firstLine="720"/>
        <w:jc w:val="both"/>
        <w:rPr>
          <w:rFonts w:ascii="Times New Roman" w:eastAsia="Times New Roman" w:hAnsi="Times New Roman" w:cs="Times New Roman"/>
          <w:sz w:val="24"/>
          <w:szCs w:val="24"/>
        </w:rPr>
      </w:pPr>
    </w:p>
    <w:p w14:paraId="41D5DD4A" w14:textId="5062287E"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Se señala, desde el artículo primero (1998), que la regulación de los avalúos se da para procesos administrativos tales como: adquisición de inmuebles por enajenación forzosa; adquisición de inmuebles por enajenación voluntaria; adquisición de inmuebles a través del proceso de expropiación por vía judicial; adquisición de inmuebles a través del proceso de expropiación por vía administrativa; determinación del efecto de plusvalía; determinación del monto de la compensación en tratamiento de conservación; pago de la participación en plusvalía por transferencia de una porción del precio objeto de la misma; y la determinación de la compensación por afectación por obra pública en los términos que señala el artículo 37 de la Ley 9 de 1989.</w:t>
      </w:r>
    </w:p>
    <w:p w14:paraId="60B85299" w14:textId="77777777" w:rsidR="002472B8" w:rsidRPr="001D41A5" w:rsidRDefault="002472B8" w:rsidP="00025654">
      <w:pPr>
        <w:spacing w:before="70" w:line="480" w:lineRule="auto"/>
        <w:ind w:right="7" w:firstLine="720"/>
        <w:jc w:val="both"/>
        <w:rPr>
          <w:rFonts w:ascii="Times New Roman" w:eastAsia="Times New Roman" w:hAnsi="Times New Roman" w:cs="Times New Roman"/>
          <w:sz w:val="24"/>
          <w:szCs w:val="24"/>
        </w:rPr>
      </w:pPr>
    </w:p>
    <w:p w14:paraId="4497251E"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Este Decreto (1998) también trae consigo la definición de lo que es el valor comercial de un inmueble, definición que se puede encontrar en el artículo segundo del Decreto, así:</w:t>
      </w:r>
    </w:p>
    <w:p w14:paraId="7577C371"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0E91B433" w14:textId="77777777" w:rsidR="00244F7E" w:rsidRPr="001D41A5" w:rsidRDefault="00BF19B4" w:rsidP="00025654">
      <w:pPr>
        <w:spacing w:before="70" w:line="480" w:lineRule="auto"/>
        <w:ind w:left="288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Se entiende por valor comercial de un inmueble el precio más favorable por el cual éste se transaría en un mercado donde </w:t>
      </w:r>
      <w:r w:rsidRPr="001D41A5">
        <w:rPr>
          <w:rFonts w:ascii="Times New Roman" w:eastAsia="Times New Roman" w:hAnsi="Times New Roman" w:cs="Times New Roman"/>
          <w:sz w:val="24"/>
          <w:szCs w:val="24"/>
        </w:rPr>
        <w:lastRenderedPageBreak/>
        <w:t>el comprador y el vendedor actuarían libremente, con el conocimiento de las condiciones físicas y jurídicas que afectan el bien. (IGAC, 1998, pág. 1)</w:t>
      </w:r>
    </w:p>
    <w:p w14:paraId="06BABC9B" w14:textId="77777777" w:rsidR="00244F7E" w:rsidRPr="001D41A5" w:rsidRDefault="00244F7E" w:rsidP="00025654">
      <w:pPr>
        <w:spacing w:before="70" w:line="480" w:lineRule="auto"/>
        <w:ind w:left="2880" w:right="7" w:firstLine="720"/>
        <w:jc w:val="both"/>
        <w:rPr>
          <w:rFonts w:ascii="Times New Roman" w:eastAsia="Times New Roman" w:hAnsi="Times New Roman" w:cs="Times New Roman"/>
          <w:sz w:val="24"/>
          <w:szCs w:val="24"/>
        </w:rPr>
      </w:pPr>
    </w:p>
    <w:p w14:paraId="44E24300"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De este artículo segundo (1998) se puede analizar que cuando se refiere al precio más favorable, carece de un componente objetivo a pesar que el valor se supedita a las condiciones del mercado. Esas condiciones no son algo diferente a los acuerdos a los que llegan las partes actuando de forma onerosa.</w:t>
      </w:r>
    </w:p>
    <w:p w14:paraId="373135C9" w14:textId="77777777" w:rsidR="00244F7E" w:rsidRPr="001D41A5" w:rsidRDefault="00244F7E" w:rsidP="00025654">
      <w:pPr>
        <w:pBdr>
          <w:top w:val="nil"/>
          <w:left w:val="nil"/>
          <w:bottom w:val="nil"/>
          <w:right w:val="nil"/>
          <w:between w:val="nil"/>
        </w:pBdr>
        <w:spacing w:before="70" w:line="480" w:lineRule="auto"/>
        <w:ind w:left="720" w:right="7" w:firstLine="720"/>
        <w:jc w:val="both"/>
        <w:rPr>
          <w:rFonts w:ascii="Times New Roman" w:eastAsia="Times New Roman" w:hAnsi="Times New Roman" w:cs="Times New Roman"/>
          <w:sz w:val="24"/>
          <w:szCs w:val="24"/>
        </w:rPr>
      </w:pPr>
    </w:p>
    <w:p w14:paraId="75E9313D"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 concepto de libremente, que amplía la decisión del precio a un sinnúmero de variables que no precisamente versan sobre el inmueble, sino que pueden recaer en las condiciones del comprador y del vendedor.</w:t>
      </w:r>
    </w:p>
    <w:p w14:paraId="0E12ED78"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5DFE1573" w14:textId="589EDE38"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En este punto, al decir que el comprador y el vendedor para fijar el precio, actúan con el conocimiento de las condiciones físicas y jurídicas que afectan el bien, se están obviando las condiciones tanto del comprador como del vendedor, toda vez que alguna de las partes puede contar con todos los conocimientos necesarios para estipular el precio más favorable, y ejerce automáticamente una posición dominante sobre aquel que no las sabe, afectándolo patrimonialmente, incluso podría presentarse el caso en que las dos partes no conocen las condiciones reales del inmueble llevándolos a causar un perjuicio patrimonial mutuo.</w:t>
      </w:r>
    </w:p>
    <w:p w14:paraId="61BFEEAC" w14:textId="77777777" w:rsidR="002472B8" w:rsidRPr="001D41A5" w:rsidRDefault="002472B8" w:rsidP="00025654">
      <w:pPr>
        <w:spacing w:before="70" w:line="480" w:lineRule="auto"/>
        <w:ind w:right="7" w:firstLine="720"/>
        <w:jc w:val="both"/>
        <w:rPr>
          <w:rFonts w:ascii="Times New Roman" w:eastAsia="Times New Roman" w:hAnsi="Times New Roman" w:cs="Times New Roman"/>
          <w:sz w:val="24"/>
          <w:szCs w:val="24"/>
        </w:rPr>
      </w:pPr>
    </w:p>
    <w:p w14:paraId="79A857A3" w14:textId="1B341EA5"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 un acercamiento a formalizar la labor que hacen las Lonjas y las personas autorizadas por ellas. Este Decreto (1998), a parte del IGAC, autorizó formalmente a los entes privados como las Lonjas, y a los miembros de las mismas, a realizar los avalúos inmobiliarios.</w:t>
      </w:r>
    </w:p>
    <w:p w14:paraId="39885178" w14:textId="77777777" w:rsidR="002472B8" w:rsidRPr="001D41A5" w:rsidRDefault="002472B8" w:rsidP="00025654">
      <w:pPr>
        <w:spacing w:before="70" w:line="480" w:lineRule="auto"/>
        <w:ind w:right="7" w:firstLine="720"/>
        <w:jc w:val="both"/>
        <w:rPr>
          <w:rFonts w:ascii="Times New Roman" w:eastAsia="Times New Roman" w:hAnsi="Times New Roman" w:cs="Times New Roman"/>
          <w:sz w:val="24"/>
          <w:szCs w:val="24"/>
        </w:rPr>
      </w:pPr>
    </w:p>
    <w:p w14:paraId="4A36F456"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En ese mismo sentido, la norma (1998) reconoció a las Lonjas como asociaciones organizadas que agrupan profesionales técnicos y especializados en temas inmobiliario, quienes deben contar con una acreditación y registro para poder realizar estos informes de los que la norma se refería en primer lugar dentro del proceso del avalúo.</w:t>
      </w:r>
    </w:p>
    <w:p w14:paraId="39486547"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9622D0F" w14:textId="77777777" w:rsidR="00244F7E" w:rsidRPr="001D41A5" w:rsidRDefault="00BF19B4" w:rsidP="00025654">
      <w:pPr>
        <w:pStyle w:val="Ttulo3"/>
        <w:spacing w:line="480" w:lineRule="auto"/>
        <w:ind w:firstLine="720"/>
        <w:rPr>
          <w:rFonts w:ascii="Times New Roman" w:eastAsia="Times New Roman" w:hAnsi="Times New Roman" w:cs="Times New Roman"/>
          <w:b/>
          <w:color w:val="000000"/>
        </w:rPr>
      </w:pPr>
      <w:bookmarkStart w:id="27" w:name="_heading=h.17dp8vu" w:colFirst="0" w:colLast="0"/>
      <w:bookmarkStart w:id="28" w:name="_Toc151281946"/>
      <w:bookmarkEnd w:id="27"/>
      <w:r w:rsidRPr="001D41A5">
        <w:rPr>
          <w:rFonts w:ascii="Times New Roman" w:eastAsia="Times New Roman" w:hAnsi="Times New Roman" w:cs="Times New Roman"/>
          <w:b/>
          <w:color w:val="000000"/>
        </w:rPr>
        <w:t>Ley 510 de 1999</w:t>
      </w:r>
      <w:bookmarkEnd w:id="28"/>
    </w:p>
    <w:p w14:paraId="3667713D" w14:textId="77777777" w:rsidR="00244F7E" w:rsidRPr="001D41A5" w:rsidRDefault="00244F7E" w:rsidP="00025654">
      <w:pPr>
        <w:spacing w:before="70" w:line="480" w:lineRule="auto"/>
        <w:ind w:left="720" w:right="7" w:firstLine="720"/>
        <w:jc w:val="both"/>
        <w:rPr>
          <w:rFonts w:ascii="Times New Roman" w:eastAsia="Times New Roman" w:hAnsi="Times New Roman" w:cs="Times New Roman"/>
          <w:sz w:val="24"/>
          <w:szCs w:val="24"/>
        </w:rPr>
      </w:pPr>
    </w:p>
    <w:p w14:paraId="3970145E"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 pesar de que la Ley 510 (1999) va dirigida específicamente al sector financiero, su aporte en temas de avalúos es significativa toda vez que en su artículo 86 dispone que cuando se den bienes inmuebles como dación de pago para créditos hipotecarios, la base para determinar dicho valor será de acuerdo al avalúo comercial.</w:t>
      </w:r>
    </w:p>
    <w:p w14:paraId="1BCA2082" w14:textId="77777777" w:rsidR="00244F7E" w:rsidRPr="001D41A5" w:rsidRDefault="00244F7E" w:rsidP="00025654">
      <w:pPr>
        <w:spacing w:before="70" w:line="480" w:lineRule="auto"/>
        <w:ind w:left="720" w:right="7" w:firstLine="720"/>
        <w:jc w:val="both"/>
        <w:rPr>
          <w:rFonts w:ascii="Times New Roman" w:eastAsia="Times New Roman" w:hAnsi="Times New Roman" w:cs="Times New Roman"/>
          <w:sz w:val="24"/>
          <w:szCs w:val="24"/>
        </w:rPr>
      </w:pPr>
    </w:p>
    <w:p w14:paraId="344DE435"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 su vez la misma norma (1999) establece condiciones al avaluador, específicamente cuando menciona que:</w:t>
      </w:r>
    </w:p>
    <w:p w14:paraId="2B389BF3" w14:textId="77777777" w:rsidR="00244F7E" w:rsidRPr="001D41A5" w:rsidRDefault="00244F7E" w:rsidP="00025654">
      <w:pPr>
        <w:spacing w:before="70" w:line="480" w:lineRule="auto"/>
        <w:ind w:left="720" w:right="7" w:firstLine="720"/>
        <w:jc w:val="both"/>
        <w:rPr>
          <w:rFonts w:ascii="Times New Roman" w:eastAsia="Times New Roman" w:hAnsi="Times New Roman" w:cs="Times New Roman"/>
          <w:sz w:val="24"/>
          <w:szCs w:val="24"/>
        </w:rPr>
      </w:pPr>
    </w:p>
    <w:p w14:paraId="2618CF50" w14:textId="67571AD3" w:rsidR="00244F7E" w:rsidRPr="001D41A5" w:rsidRDefault="00BF19B4" w:rsidP="00025654">
      <w:pPr>
        <w:spacing w:before="70" w:line="480" w:lineRule="auto"/>
        <w:ind w:left="144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No tengan vinculación directa o indirecta con el respectivo establecimiento de crédito, o parentesco dentro del cuarto grado de consanguinidad, segundo de afinidad y único civil con los directores y administradores del mismo. (Congreso de la República de Colombia, 1999, art. 86)</w:t>
      </w:r>
    </w:p>
    <w:p w14:paraId="7925579A" w14:textId="458F18DA" w:rsidR="002472B8" w:rsidRDefault="00BF19B4" w:rsidP="00D87DE5">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Las cualidades técnicas y profesionales destacadas son la experiencia, la independencia y la solvencia moral; expresiones que le permiten la entrada al sector financiero a avaluadores </w:t>
      </w:r>
      <w:r w:rsidRPr="001D41A5">
        <w:rPr>
          <w:rFonts w:ascii="Times New Roman" w:eastAsia="Times New Roman" w:hAnsi="Times New Roman" w:cs="Times New Roman"/>
          <w:sz w:val="24"/>
          <w:szCs w:val="24"/>
        </w:rPr>
        <w:lastRenderedPageBreak/>
        <w:t>que se presentan para este sector, pues los informes se convierten en un respaldo para las decisiones que toman las entidades bancarias para otorgar créditos.</w:t>
      </w:r>
    </w:p>
    <w:p w14:paraId="1DB93325" w14:textId="77777777" w:rsidR="00D87DE5" w:rsidRPr="001D41A5" w:rsidRDefault="00D87DE5" w:rsidP="00D87DE5">
      <w:pPr>
        <w:spacing w:before="70" w:line="480" w:lineRule="auto"/>
        <w:ind w:right="7" w:firstLine="720"/>
        <w:jc w:val="both"/>
        <w:rPr>
          <w:rFonts w:ascii="Times New Roman" w:eastAsia="Times New Roman" w:hAnsi="Times New Roman" w:cs="Times New Roman"/>
          <w:sz w:val="24"/>
          <w:szCs w:val="24"/>
        </w:rPr>
      </w:pPr>
    </w:p>
    <w:p w14:paraId="679D7AEA" w14:textId="77777777" w:rsidR="00244F7E" w:rsidRPr="001D41A5" w:rsidRDefault="00BF19B4" w:rsidP="00025654">
      <w:pPr>
        <w:pStyle w:val="Ttulo1"/>
        <w:spacing w:line="480" w:lineRule="auto"/>
        <w:ind w:firstLine="720"/>
        <w:rPr>
          <w:rFonts w:ascii="Times New Roman" w:eastAsia="Times New Roman" w:hAnsi="Times New Roman" w:cs="Times New Roman"/>
          <w:color w:val="000000"/>
          <w:sz w:val="24"/>
          <w:szCs w:val="24"/>
        </w:rPr>
      </w:pPr>
      <w:bookmarkStart w:id="29" w:name="_heading=h.3rdcrjn" w:colFirst="0" w:colLast="0"/>
      <w:bookmarkStart w:id="30" w:name="_Toc151281947"/>
      <w:bookmarkEnd w:id="29"/>
      <w:r w:rsidRPr="001D41A5">
        <w:rPr>
          <w:rFonts w:ascii="Times New Roman" w:eastAsia="Times New Roman" w:hAnsi="Times New Roman" w:cs="Times New Roman"/>
          <w:b/>
          <w:color w:val="000000"/>
          <w:sz w:val="24"/>
          <w:szCs w:val="24"/>
        </w:rPr>
        <w:t>Segundo capítulo</w:t>
      </w:r>
      <w:bookmarkEnd w:id="30"/>
    </w:p>
    <w:p w14:paraId="1F81483D" w14:textId="77777777" w:rsidR="00244F7E" w:rsidRPr="001D41A5" w:rsidRDefault="00244F7E" w:rsidP="00025654">
      <w:pPr>
        <w:spacing w:before="70" w:line="480" w:lineRule="auto"/>
        <w:ind w:left="720" w:right="7" w:firstLine="720"/>
        <w:jc w:val="both"/>
        <w:rPr>
          <w:rFonts w:ascii="Times New Roman" w:eastAsia="Times New Roman" w:hAnsi="Times New Roman" w:cs="Times New Roman"/>
          <w:sz w:val="24"/>
          <w:szCs w:val="24"/>
        </w:rPr>
      </w:pPr>
    </w:p>
    <w:p w14:paraId="3DBD0ED9" w14:textId="77777777" w:rsidR="00244F7E" w:rsidRPr="001D41A5" w:rsidRDefault="00BF19B4" w:rsidP="00025654">
      <w:pPr>
        <w:spacing w:before="70" w:line="480" w:lineRule="auto"/>
        <w:ind w:left="72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Ya en el capítulo anterior se comenzó a presentar el marco normativo del tema del avalúo en Colombia, sus bases y el principio constitucional del que se deriva la actividad; luego es importante comenzar a describir el marco normativo que rodea la exigencia de requisitos para los avaluadores.</w:t>
      </w:r>
    </w:p>
    <w:p w14:paraId="18EF67A3" w14:textId="77777777" w:rsidR="00244F7E" w:rsidRPr="001D41A5" w:rsidRDefault="00244F7E" w:rsidP="00025654">
      <w:pPr>
        <w:spacing w:before="70" w:line="480" w:lineRule="auto"/>
        <w:ind w:left="720" w:right="7" w:firstLine="720"/>
        <w:jc w:val="both"/>
        <w:rPr>
          <w:rFonts w:ascii="Times New Roman" w:eastAsia="Times New Roman" w:hAnsi="Times New Roman" w:cs="Times New Roman"/>
          <w:sz w:val="24"/>
          <w:szCs w:val="24"/>
        </w:rPr>
      </w:pPr>
    </w:p>
    <w:p w14:paraId="336792A9" w14:textId="1A18711A" w:rsidR="00244F7E" w:rsidRPr="001D41A5" w:rsidRDefault="00BF19B4" w:rsidP="00025654">
      <w:pPr>
        <w:spacing w:before="70" w:line="480" w:lineRule="auto"/>
        <w:ind w:left="72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 objetivo principal del presente trabajo es justamente analizar cuál ha sido el desarrollo normativo y metodológico, específicamente, se los criterios de registro de avaluadores de predios rurales por parte de las hoy ERA, y las implicaciones que este desarrollo normativo y metodológico tienen con respecto a</w:t>
      </w:r>
      <w:r w:rsidR="00304816" w:rsidRPr="001D41A5">
        <w:rPr>
          <w:rFonts w:ascii="Times New Roman" w:eastAsia="Times New Roman" w:hAnsi="Times New Roman" w:cs="Times New Roman"/>
          <w:sz w:val="24"/>
          <w:szCs w:val="24"/>
        </w:rPr>
        <w:t xml:space="preserve"> las negociaciones</w:t>
      </w:r>
      <w:r w:rsidRPr="001D41A5">
        <w:rPr>
          <w:rFonts w:ascii="Times New Roman" w:eastAsia="Times New Roman" w:hAnsi="Times New Roman" w:cs="Times New Roman"/>
          <w:sz w:val="24"/>
          <w:szCs w:val="24"/>
        </w:rPr>
        <w:t xml:space="preserve"> rural</w:t>
      </w:r>
      <w:r w:rsidR="00304816" w:rsidRPr="001D41A5">
        <w:rPr>
          <w:rFonts w:ascii="Times New Roman" w:eastAsia="Times New Roman" w:hAnsi="Times New Roman" w:cs="Times New Roman"/>
          <w:sz w:val="24"/>
          <w:szCs w:val="24"/>
        </w:rPr>
        <w:t>es</w:t>
      </w:r>
      <w:r w:rsidRPr="001D41A5">
        <w:rPr>
          <w:rFonts w:ascii="Times New Roman" w:eastAsia="Times New Roman" w:hAnsi="Times New Roman" w:cs="Times New Roman"/>
          <w:sz w:val="24"/>
          <w:szCs w:val="24"/>
        </w:rPr>
        <w:t>.</w:t>
      </w:r>
    </w:p>
    <w:p w14:paraId="27722AF2" w14:textId="77777777" w:rsidR="00244F7E" w:rsidRPr="001D41A5" w:rsidRDefault="00244F7E" w:rsidP="00025654">
      <w:pPr>
        <w:spacing w:before="70" w:line="480" w:lineRule="auto"/>
        <w:ind w:left="720" w:right="7" w:firstLine="720"/>
        <w:jc w:val="both"/>
        <w:rPr>
          <w:rFonts w:ascii="Times New Roman" w:eastAsia="Times New Roman" w:hAnsi="Times New Roman" w:cs="Times New Roman"/>
          <w:sz w:val="24"/>
          <w:szCs w:val="24"/>
        </w:rPr>
      </w:pPr>
    </w:p>
    <w:p w14:paraId="61E65FAD" w14:textId="51AE39C2" w:rsidR="00244F7E" w:rsidRPr="001D41A5" w:rsidRDefault="00BF19B4" w:rsidP="00025654">
      <w:pPr>
        <w:spacing w:before="70" w:line="480" w:lineRule="auto"/>
        <w:ind w:left="72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Por lo anterior se presenta al lector de manera cronológica el marco normativo existente y que hoy en día sigue vigente sobre los criterios específicos exigidos a las personas, tanto naturales como jurídicas, para que puedan solicitar y ser habilitadas como </w:t>
      </w:r>
      <w:r w:rsidR="005F3FD9" w:rsidRPr="001D41A5">
        <w:rPr>
          <w:rFonts w:ascii="Times New Roman" w:eastAsia="Times New Roman" w:hAnsi="Times New Roman" w:cs="Times New Roman"/>
          <w:sz w:val="24"/>
          <w:szCs w:val="24"/>
        </w:rPr>
        <w:t>avaluadores</w:t>
      </w:r>
      <w:r w:rsidRPr="001D41A5">
        <w:rPr>
          <w:rFonts w:ascii="Times New Roman" w:eastAsia="Times New Roman" w:hAnsi="Times New Roman" w:cs="Times New Roman"/>
          <w:sz w:val="24"/>
          <w:szCs w:val="24"/>
        </w:rPr>
        <w:t>, haciendo énfasis por supuesto a la actividad de avaluar predios rurales.</w:t>
      </w:r>
    </w:p>
    <w:p w14:paraId="5DF160EA" w14:textId="57BB66AA" w:rsidR="00244F7E" w:rsidRDefault="00244F7E" w:rsidP="00025654">
      <w:pPr>
        <w:spacing w:before="70" w:line="480" w:lineRule="auto"/>
        <w:ind w:left="720" w:right="7" w:firstLine="720"/>
        <w:jc w:val="both"/>
        <w:rPr>
          <w:rFonts w:ascii="Times New Roman" w:eastAsia="Times New Roman" w:hAnsi="Times New Roman" w:cs="Times New Roman"/>
          <w:sz w:val="24"/>
          <w:szCs w:val="24"/>
        </w:rPr>
      </w:pPr>
    </w:p>
    <w:p w14:paraId="4B5E7D2C" w14:textId="02F4CCAA" w:rsidR="00C87636" w:rsidRDefault="00C87636" w:rsidP="00025654">
      <w:pPr>
        <w:spacing w:before="70" w:line="480" w:lineRule="auto"/>
        <w:ind w:left="720" w:right="7" w:firstLine="720"/>
        <w:jc w:val="both"/>
        <w:rPr>
          <w:rFonts w:ascii="Times New Roman" w:eastAsia="Times New Roman" w:hAnsi="Times New Roman" w:cs="Times New Roman"/>
          <w:sz w:val="24"/>
          <w:szCs w:val="24"/>
        </w:rPr>
      </w:pPr>
    </w:p>
    <w:p w14:paraId="045C5AC5" w14:textId="77777777" w:rsidR="00C87636" w:rsidRPr="001D41A5" w:rsidRDefault="00C87636" w:rsidP="00025654">
      <w:pPr>
        <w:spacing w:before="70" w:line="480" w:lineRule="auto"/>
        <w:ind w:left="720" w:right="7" w:firstLine="720"/>
        <w:jc w:val="both"/>
        <w:rPr>
          <w:rFonts w:ascii="Times New Roman" w:eastAsia="Times New Roman" w:hAnsi="Times New Roman" w:cs="Times New Roman"/>
          <w:sz w:val="24"/>
          <w:szCs w:val="24"/>
        </w:rPr>
      </w:pPr>
    </w:p>
    <w:p w14:paraId="101FCE86"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31" w:name="_Toc151281948"/>
      <w:r w:rsidRPr="001D41A5">
        <w:rPr>
          <w:rFonts w:ascii="Times New Roman" w:eastAsia="Times New Roman" w:hAnsi="Times New Roman" w:cs="Times New Roman"/>
          <w:b/>
          <w:color w:val="000000"/>
          <w:sz w:val="24"/>
          <w:szCs w:val="24"/>
        </w:rPr>
        <w:lastRenderedPageBreak/>
        <w:t>Normativa de 1999 y 2000</w:t>
      </w:r>
      <w:bookmarkEnd w:id="31"/>
    </w:p>
    <w:p w14:paraId="2F42922B" w14:textId="77777777" w:rsidR="00244F7E" w:rsidRPr="001D41A5" w:rsidRDefault="00244F7E" w:rsidP="00025654">
      <w:pPr>
        <w:spacing w:before="70" w:line="480" w:lineRule="auto"/>
        <w:ind w:left="720" w:right="7" w:firstLine="720"/>
        <w:jc w:val="both"/>
        <w:rPr>
          <w:rFonts w:ascii="Times New Roman" w:eastAsia="Times New Roman" w:hAnsi="Times New Roman" w:cs="Times New Roman"/>
          <w:sz w:val="24"/>
          <w:szCs w:val="24"/>
        </w:rPr>
      </w:pPr>
    </w:p>
    <w:p w14:paraId="27EE4AE6" w14:textId="77777777" w:rsidR="00244F7E" w:rsidRPr="001D41A5" w:rsidRDefault="00BF19B4" w:rsidP="00025654">
      <w:pPr>
        <w:spacing w:before="70" w:line="480" w:lineRule="auto"/>
        <w:ind w:left="72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La Ley 546 (1999), expresión normativa que dispone el marco de vivienda; y la Ley 550 (1999), sobre reactivación económica; continuaron las dos dándole relevancia al tema de los avalúos inmobiliarios, pues se convirtieron en una necesidad a la hora de hacer inversiones o subsidiar programas que tuvieran como objeto este tipo de bienes. </w:t>
      </w:r>
    </w:p>
    <w:p w14:paraId="7BBC13C5" w14:textId="77777777" w:rsidR="00244F7E" w:rsidRPr="001D41A5" w:rsidRDefault="00244F7E" w:rsidP="00025654">
      <w:pPr>
        <w:spacing w:before="70" w:line="480" w:lineRule="auto"/>
        <w:ind w:left="720" w:right="7" w:firstLine="720"/>
        <w:jc w:val="both"/>
        <w:rPr>
          <w:rFonts w:ascii="Times New Roman" w:eastAsia="Times New Roman" w:hAnsi="Times New Roman" w:cs="Times New Roman"/>
          <w:sz w:val="24"/>
          <w:szCs w:val="24"/>
        </w:rPr>
      </w:pPr>
    </w:p>
    <w:p w14:paraId="794F71F0" w14:textId="77777777" w:rsidR="00244F7E" w:rsidRPr="001D41A5" w:rsidRDefault="00BF19B4" w:rsidP="00025654">
      <w:pPr>
        <w:spacing w:before="70" w:line="480" w:lineRule="auto"/>
        <w:ind w:left="72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 así como gracias a la expedición del Decreto 422 (2000), nació un tipo de estatuto sobre los avalúos y los avaluadores; norma que determinó finalmente los preceptos generales que hasta el día de hoy orientan la actividad del avalúo.</w:t>
      </w:r>
    </w:p>
    <w:p w14:paraId="77D2EA50" w14:textId="77777777" w:rsidR="00244F7E" w:rsidRPr="001D41A5" w:rsidRDefault="00244F7E" w:rsidP="00025654">
      <w:pPr>
        <w:spacing w:before="70" w:line="480" w:lineRule="auto"/>
        <w:ind w:left="720" w:right="7" w:firstLine="720"/>
        <w:jc w:val="both"/>
        <w:rPr>
          <w:rFonts w:ascii="Times New Roman" w:eastAsia="Times New Roman" w:hAnsi="Times New Roman" w:cs="Times New Roman"/>
          <w:sz w:val="24"/>
          <w:szCs w:val="24"/>
        </w:rPr>
      </w:pPr>
    </w:p>
    <w:p w14:paraId="7173EF14" w14:textId="77777777" w:rsidR="00244F7E" w:rsidRPr="001D41A5" w:rsidRDefault="00BF19B4" w:rsidP="00025654">
      <w:pPr>
        <w:spacing w:before="70" w:line="480" w:lineRule="auto"/>
        <w:ind w:left="72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 importante tener en cuenta que esta expresión normativa (2000) se encuentra aún vigente y que dentro de su contenido se enumeraron y detallaron expresamente unos elementos esenciales a los cuales deben estar sujetos los avalúos, aunque de manera textual la norma se refiere a estos elementos como criterios, a través del tiempo, y de acuerdo al desarrollo normativo que ha tenido esta materia, los criterios del artículo primero son verdaderamente los principios que rigen todo lo relacionado con los avalúos, los cuales de manera textual son (2000):</w:t>
      </w:r>
    </w:p>
    <w:p w14:paraId="07A7C163" w14:textId="77777777" w:rsidR="00244F7E" w:rsidRPr="001D41A5" w:rsidRDefault="00244F7E" w:rsidP="00025654">
      <w:pPr>
        <w:spacing w:before="70" w:line="480" w:lineRule="auto"/>
        <w:ind w:left="720" w:right="7" w:firstLine="720"/>
        <w:jc w:val="both"/>
        <w:rPr>
          <w:rFonts w:ascii="Times New Roman" w:eastAsia="Times New Roman" w:hAnsi="Times New Roman" w:cs="Times New Roman"/>
          <w:sz w:val="24"/>
          <w:szCs w:val="24"/>
        </w:rPr>
      </w:pPr>
    </w:p>
    <w:p w14:paraId="49B2B4D4"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1. Objetividad.</w:t>
      </w:r>
      <w:r w:rsidRPr="001D41A5">
        <w:rPr>
          <w:rFonts w:ascii="Times New Roman" w:eastAsia="Times New Roman" w:hAnsi="Times New Roman" w:cs="Times New Roman"/>
          <w:sz w:val="24"/>
          <w:szCs w:val="24"/>
        </w:rPr>
        <w:t xml:space="preserve"> Se basarán en criterios objetivos y datos comprobables, cuyas fuentes sean verificables y comprobables.</w:t>
      </w:r>
    </w:p>
    <w:p w14:paraId="67CFF5E4"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 xml:space="preserve">2. Certeza de fuentes. </w:t>
      </w:r>
      <w:r w:rsidRPr="001D41A5">
        <w:rPr>
          <w:rFonts w:ascii="Times New Roman" w:eastAsia="Times New Roman" w:hAnsi="Times New Roman" w:cs="Times New Roman"/>
          <w:sz w:val="24"/>
          <w:szCs w:val="24"/>
        </w:rPr>
        <w:t xml:space="preserve">La información, índices, precios unitarios, curvas de depreciación o proyecciones que se utilicen deben </w:t>
      </w:r>
      <w:r w:rsidRPr="001D41A5">
        <w:rPr>
          <w:rFonts w:ascii="Times New Roman" w:eastAsia="Times New Roman" w:hAnsi="Times New Roman" w:cs="Times New Roman"/>
          <w:sz w:val="24"/>
          <w:szCs w:val="24"/>
        </w:rPr>
        <w:lastRenderedPageBreak/>
        <w:t>provenir de fuentes de reconocida profesionalidad y, en todo caso se revelarán.</w:t>
      </w:r>
    </w:p>
    <w:p w14:paraId="3019139B"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3. Transparencia.</w:t>
      </w:r>
      <w:r w:rsidRPr="001D41A5">
        <w:rPr>
          <w:rFonts w:ascii="Times New Roman" w:eastAsia="Times New Roman" w:hAnsi="Times New Roman" w:cs="Times New Roman"/>
          <w:sz w:val="24"/>
          <w:szCs w:val="24"/>
        </w:rPr>
        <w:t xml:space="preserve"> Expresarán todas las limitaciones y posibles fuentes de error y revelarán todos los supuestos que se hayan tomado en cuenta.</w:t>
      </w:r>
    </w:p>
    <w:p w14:paraId="4D11EABD"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4. Integridad y suficiencia.</w:t>
      </w:r>
      <w:r w:rsidRPr="001D41A5">
        <w:rPr>
          <w:rFonts w:ascii="Times New Roman" w:eastAsia="Times New Roman" w:hAnsi="Times New Roman" w:cs="Times New Roman"/>
          <w:sz w:val="24"/>
          <w:szCs w:val="24"/>
        </w:rPr>
        <w:t xml:space="preserve"> Los avalúos deben contener toda la información que permita a un tercero concluir el valor total del avalúo, sin necesidad de recurrir a fuentes externas al texto. Adicionalmente, debe ser posible verificar todos los cálculos que soporten el resultado final y los intermedios.</w:t>
      </w:r>
    </w:p>
    <w:p w14:paraId="43672ECD"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5. Independencia.</w:t>
      </w:r>
      <w:r w:rsidRPr="001D41A5">
        <w:rPr>
          <w:rFonts w:ascii="Times New Roman" w:eastAsia="Times New Roman" w:hAnsi="Times New Roman" w:cs="Times New Roman"/>
          <w:sz w:val="24"/>
          <w:szCs w:val="24"/>
        </w:rPr>
        <w:t xml:space="preserve"> Los avalúos deben ser realizados por personas que, directa o indirectamente carezcan de cualquier interés en el resultado del avalúo o en sus posibles utilizaciones, así como de cualquier vinculación con las partes que se afectarían. Los avaluadores no podrán tener, con los establecimientos de crédito, los deudores o acreedores, ninguna relación de subordinación, dependencia o parentesco, ni </w:t>
      </w:r>
      <w:r w:rsidRPr="001D41A5">
        <w:rPr>
          <w:rFonts w:ascii="Times New Roman" w:eastAsia="Times New Roman" w:hAnsi="Times New Roman" w:cs="Times New Roman"/>
          <w:sz w:val="24"/>
          <w:szCs w:val="24"/>
        </w:rPr>
        <w:tab/>
        <w:t xml:space="preserve"> incursos en las causales de recusación a las que se refiere el artículo 72 de la Ley 550 de 1999, no pudiendo existir, en ningún evento conflicto de intereses.</w:t>
      </w:r>
    </w:p>
    <w:p w14:paraId="687B35A7"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6. Profesionalidad.</w:t>
      </w:r>
      <w:r w:rsidRPr="001D41A5">
        <w:rPr>
          <w:rFonts w:ascii="Times New Roman" w:eastAsia="Times New Roman" w:hAnsi="Times New Roman" w:cs="Times New Roman"/>
          <w:sz w:val="24"/>
          <w:szCs w:val="24"/>
        </w:rPr>
        <w:t xml:space="preserve"> Los avalúos deben realizarse por personas inscritas para la especialidad respectiva, en la lista correspondiente o en el registro nacional de avaluadores. (pág. 1)</w:t>
      </w:r>
    </w:p>
    <w:p w14:paraId="59C636EF"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r>
    </w:p>
    <w:p w14:paraId="243664EA"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 xml:space="preserve">Los seis elementos son finalmente los principios del avalúo de bienes inmuebles. Este Decreto (2000) también instruye y faculta a la SIC para que se convierta en la </w:t>
      </w:r>
      <w:r w:rsidRPr="001D41A5">
        <w:rPr>
          <w:rFonts w:ascii="Times New Roman" w:eastAsia="Times New Roman" w:hAnsi="Times New Roman" w:cs="Times New Roman"/>
          <w:sz w:val="24"/>
          <w:szCs w:val="24"/>
        </w:rPr>
        <w:lastRenderedPageBreak/>
        <w:t>entidad encargada de controlar el registro de avaluadores, teniendo en cuenta el proceso y método de vigilancia sobre las empresas dedicadas al asunto, es decir las Lonjas, que finalmente acreditan y habilitan.</w:t>
      </w:r>
    </w:p>
    <w:p w14:paraId="55CA22AC"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46A10D21"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32" w:name="_heading=h.26in1rg" w:colFirst="0" w:colLast="0"/>
      <w:bookmarkEnd w:id="32"/>
      <w:r w:rsidRPr="001D41A5">
        <w:rPr>
          <w:rFonts w:ascii="Times New Roman" w:eastAsia="Times New Roman" w:hAnsi="Times New Roman" w:cs="Times New Roman"/>
          <w:color w:val="000000"/>
          <w:sz w:val="24"/>
          <w:szCs w:val="24"/>
        </w:rPr>
        <w:tab/>
      </w:r>
      <w:bookmarkStart w:id="33" w:name="_Toc151281949"/>
      <w:r w:rsidRPr="001D41A5">
        <w:rPr>
          <w:rFonts w:ascii="Times New Roman" w:eastAsia="Times New Roman" w:hAnsi="Times New Roman" w:cs="Times New Roman"/>
          <w:b/>
          <w:color w:val="000000"/>
          <w:sz w:val="24"/>
          <w:szCs w:val="24"/>
        </w:rPr>
        <w:t>Resolución 22639 del 2000</w:t>
      </w:r>
      <w:bookmarkEnd w:id="33"/>
    </w:p>
    <w:p w14:paraId="2B81935D"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4FF319A"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 entonces como la SIC, ejerciendo sus facultades y cumpliendo con lo estipulado por el Decreto del ejecutivo, expide la Resolución 22639 (2000), por medio de la cual detalla las diferentes categorías que conforman el Registro Nacional de Avaluadores, RNA; de las catorce, las únicas seis que corresponden al ámbito inmobiliario, según el artículo 5 de la expresión normativa, son (2000):</w:t>
      </w:r>
    </w:p>
    <w:p w14:paraId="6D1E9A1D"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4A0B3B14"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 Inmuebles urbanos:</w:t>
      </w:r>
      <w:r w:rsidRPr="001D41A5">
        <w:rPr>
          <w:rFonts w:ascii="Times New Roman" w:eastAsia="Times New Roman" w:hAnsi="Times New Roman" w:cs="Times New Roman"/>
          <w:sz w:val="24"/>
          <w:szCs w:val="24"/>
        </w:rPr>
        <w:t xml:space="preserve"> Casas, apartamentos, edificios, oficinas, locales comerciales, terrenos y bodegas situados total o parcialmente en áreas urbanas. Para determinar si el inmueble es rural o urbano se tendrá en cuenta la delimitación de las autoridades competentes.</w:t>
      </w:r>
    </w:p>
    <w:p w14:paraId="2BE64183"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 Inmuebles rurales:</w:t>
      </w:r>
      <w:r w:rsidRPr="001D41A5">
        <w:rPr>
          <w:rFonts w:ascii="Times New Roman" w:eastAsia="Times New Roman" w:hAnsi="Times New Roman" w:cs="Times New Roman"/>
          <w:sz w:val="24"/>
          <w:szCs w:val="24"/>
        </w:rPr>
        <w:t xml:space="preserve"> Terrenos rurales con o sin construcciones, como viviendas, edificios, establos, galpones, cercas, sistemas de riego, drenaje, vías, adecuación de suelos, pozos, cultivos, plantaciones, explotaciones agrícolas y demás infraestructura de explotación situados totalmente en áreas rurales.</w:t>
      </w:r>
    </w:p>
    <w:p w14:paraId="3B6C10DD"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 Edificaciones</w:t>
      </w:r>
      <w:r w:rsidRPr="001D41A5">
        <w:rPr>
          <w:rFonts w:ascii="Times New Roman" w:eastAsia="Times New Roman" w:hAnsi="Times New Roman" w:cs="Times New Roman"/>
          <w:sz w:val="24"/>
          <w:szCs w:val="24"/>
        </w:rPr>
        <w:t xml:space="preserve"> de conservación arquitectónica y monumentos históricos.</w:t>
      </w:r>
    </w:p>
    <w:p w14:paraId="3BCFB2B2"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lastRenderedPageBreak/>
        <w:t>- Inmuebles especiales:</w:t>
      </w:r>
      <w:r w:rsidRPr="001D41A5">
        <w:rPr>
          <w:rFonts w:ascii="Times New Roman" w:eastAsia="Times New Roman" w:hAnsi="Times New Roman" w:cs="Times New Roman"/>
          <w:sz w:val="24"/>
          <w:szCs w:val="24"/>
        </w:rPr>
        <w:t xml:space="preserve"> Incluye centros comerciales, hoteles, colegios, hospitales, clínicas, avance de obras, estructuras especiales para proceso, puentes, túneles, acueductos y conducciones, presas, aeropuertos, muelles, y demás construcciones civiles de infraestructura similar. Incluye todos los inmuebles que no se clasifiquen dentro de los numerales anteriores.</w:t>
      </w:r>
    </w:p>
    <w:p w14:paraId="2A072A49"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 Activos financieros:</w:t>
      </w:r>
      <w:r w:rsidRPr="001D41A5">
        <w:rPr>
          <w:rFonts w:ascii="Times New Roman" w:eastAsia="Times New Roman" w:hAnsi="Times New Roman" w:cs="Times New Roman"/>
          <w:sz w:val="24"/>
          <w:szCs w:val="24"/>
        </w:rPr>
        <w:t xml:space="preserve"> acciones, futuros, opciones y títulos inmobiliarios, bonos, ADR cédulas hipotecarias y títulos valores y valores en general, seguros, cartera.</w:t>
      </w:r>
    </w:p>
    <w:p w14:paraId="18B38A3D" w14:textId="28A671DC"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 Recursos naturales:</w:t>
      </w:r>
      <w:r w:rsidRPr="001D41A5">
        <w:rPr>
          <w:rFonts w:ascii="Times New Roman" w:eastAsia="Times New Roman" w:hAnsi="Times New Roman" w:cs="Times New Roman"/>
          <w:sz w:val="24"/>
          <w:szCs w:val="24"/>
        </w:rPr>
        <w:t xml:space="preserve"> Bienes ambientales, minas, yacimientos y explotaciones minerales. (pág. 1)</w:t>
      </w:r>
    </w:p>
    <w:p w14:paraId="3ACAF571"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Esta expresión normativa detalla de una forma más profunda el tema del avalúo, ya que en su articulado establece un procedimiento para la debida inscripción en el Registro Nacional de Avaluadores: un trámite; requisitos; exámenes; sanciones; exclusiones; suspensiones; sistemas de actualización; entre otros como documentos.</w:t>
      </w:r>
    </w:p>
    <w:p w14:paraId="1736BB22"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9B5BAFB"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Sin embargo, aún diseñada y expedida esta normativa, no desarrolla una diferenciación sobre la especialidad que debe tener un avaluador de bien inmueble urbano con respecto a uno que se vaya a dedicar al avalúo de bienes inmuebles rurales.</w:t>
      </w:r>
    </w:p>
    <w:p w14:paraId="3BD2E86E"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252B951C"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34" w:name="_heading=h.lnxbz9" w:colFirst="0" w:colLast="0"/>
      <w:bookmarkEnd w:id="34"/>
      <w:r w:rsidRPr="001D41A5">
        <w:rPr>
          <w:rFonts w:ascii="Times New Roman" w:eastAsia="Times New Roman" w:hAnsi="Times New Roman" w:cs="Times New Roman"/>
          <w:b/>
          <w:color w:val="000000"/>
          <w:sz w:val="24"/>
          <w:szCs w:val="24"/>
        </w:rPr>
        <w:tab/>
      </w:r>
      <w:bookmarkStart w:id="35" w:name="_Toc151281950"/>
      <w:r w:rsidRPr="001D41A5">
        <w:rPr>
          <w:rFonts w:ascii="Times New Roman" w:eastAsia="Times New Roman" w:hAnsi="Times New Roman" w:cs="Times New Roman"/>
          <w:b/>
          <w:color w:val="000000"/>
          <w:sz w:val="24"/>
          <w:szCs w:val="24"/>
        </w:rPr>
        <w:t>Sentencia C-1265 del 2000</w:t>
      </w:r>
      <w:bookmarkEnd w:id="35"/>
    </w:p>
    <w:p w14:paraId="14042226" w14:textId="77777777" w:rsidR="00244F7E" w:rsidRPr="001D41A5" w:rsidRDefault="00244F7E" w:rsidP="00025654">
      <w:pPr>
        <w:spacing w:before="70" w:line="480" w:lineRule="auto"/>
        <w:ind w:right="7" w:firstLine="720"/>
        <w:jc w:val="both"/>
        <w:rPr>
          <w:rFonts w:ascii="Times New Roman" w:eastAsia="Times New Roman" w:hAnsi="Times New Roman" w:cs="Times New Roman"/>
          <w:sz w:val="24"/>
          <w:szCs w:val="24"/>
        </w:rPr>
      </w:pPr>
    </w:p>
    <w:p w14:paraId="7D9ED083"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 xml:space="preserve">La Corte Constitucional (2000) limitó el poder que se le otorgó a la SIC por medio de la Resolución 22639, aduciendo que en ninguna norma se </w:t>
      </w:r>
      <w:proofErr w:type="gramStart"/>
      <w:r w:rsidRPr="001D41A5">
        <w:rPr>
          <w:rFonts w:ascii="Times New Roman" w:eastAsia="Times New Roman" w:hAnsi="Times New Roman" w:cs="Times New Roman"/>
          <w:sz w:val="24"/>
          <w:szCs w:val="24"/>
        </w:rPr>
        <w:t>le</w:t>
      </w:r>
      <w:proofErr w:type="gramEnd"/>
      <w:r w:rsidRPr="001D41A5">
        <w:rPr>
          <w:rFonts w:ascii="Times New Roman" w:eastAsia="Times New Roman" w:hAnsi="Times New Roman" w:cs="Times New Roman"/>
          <w:sz w:val="24"/>
          <w:szCs w:val="24"/>
        </w:rPr>
        <w:t xml:space="preserve"> da el poder a las </w:t>
      </w:r>
      <w:r w:rsidRPr="001D41A5">
        <w:rPr>
          <w:rFonts w:ascii="Times New Roman" w:eastAsia="Times New Roman" w:hAnsi="Times New Roman" w:cs="Times New Roman"/>
          <w:sz w:val="24"/>
          <w:szCs w:val="24"/>
        </w:rPr>
        <w:lastRenderedPageBreak/>
        <w:t>autoridades administrativas para restringir o limitar el ejercicio de una profesión, potestad que continuaría, según la perspectiva de la Corte, en manos del Congreso. En ese sentido se refirió a que (2000):</w:t>
      </w:r>
    </w:p>
    <w:p w14:paraId="50B22115" w14:textId="77777777" w:rsidR="00244F7E" w:rsidRPr="001D41A5" w:rsidRDefault="00BF19B4" w:rsidP="00025654">
      <w:pPr>
        <w:spacing w:before="70" w:line="480" w:lineRule="auto"/>
        <w:ind w:left="2160"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Superintendencia de Industria y Comercio, al reglamentar lo concerniente a la integración y actualización de la lista de peritos avaluadores, sólo podrá referirse a la parte operativa y administrativa de la misma; no podrá añadir requisitos o exigencias adicionales a las de la ley para ser inscrito, e inscribirá a todo aquel que, cumpliendo con los requisitos legales, así lo solicite. (pág. 5)</w:t>
      </w:r>
    </w:p>
    <w:p w14:paraId="5CAC0742" w14:textId="77777777" w:rsidR="00244F7E" w:rsidRPr="001D41A5" w:rsidRDefault="00244F7E" w:rsidP="00025654">
      <w:pPr>
        <w:spacing w:before="70" w:line="480" w:lineRule="auto"/>
        <w:ind w:left="1" w:right="7" w:firstLine="720"/>
        <w:jc w:val="both"/>
        <w:rPr>
          <w:rFonts w:ascii="Times New Roman" w:eastAsia="Times New Roman" w:hAnsi="Times New Roman" w:cs="Times New Roman"/>
          <w:sz w:val="24"/>
          <w:szCs w:val="24"/>
        </w:rPr>
      </w:pPr>
    </w:p>
    <w:p w14:paraId="4E9F46A4" w14:textId="77777777" w:rsidR="00244F7E" w:rsidRPr="001D41A5" w:rsidRDefault="00BF19B4" w:rsidP="00025654">
      <w:pPr>
        <w:spacing w:before="70" w:line="480" w:lineRule="auto"/>
        <w:ind w:left="1"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Aunque en aras de proteger los derechos constitucionales, la providencia limitó la expresión normativa que por lo menos intentaba, a través de la SIC, regular y mencionar algún aspecto sobre la idoneidad de las personas que deberían estar inscritos como avaluadores.</w:t>
      </w:r>
    </w:p>
    <w:p w14:paraId="149C0725" w14:textId="77777777" w:rsidR="00244F7E" w:rsidRPr="001D41A5" w:rsidRDefault="00BF19B4" w:rsidP="00025654">
      <w:pPr>
        <w:spacing w:before="70" w:line="480" w:lineRule="auto"/>
        <w:ind w:left="1"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Corte falló limitando a la SIC a regular simplemente un trámite por medio del cual se puede llevar a cabo única y exclusivamente la inscripción; pero no a un proceso de certificación de cualidades técnicas o profesionales.</w:t>
      </w:r>
    </w:p>
    <w:p w14:paraId="1F35EE03" w14:textId="77777777" w:rsidR="00F5033F" w:rsidRPr="001D41A5" w:rsidRDefault="00F5033F" w:rsidP="00025654">
      <w:pPr>
        <w:spacing w:before="70" w:line="480" w:lineRule="auto"/>
        <w:ind w:right="7" w:firstLine="720"/>
        <w:jc w:val="both"/>
        <w:rPr>
          <w:rFonts w:ascii="Times New Roman" w:eastAsia="Times New Roman" w:hAnsi="Times New Roman" w:cs="Times New Roman"/>
          <w:sz w:val="24"/>
          <w:szCs w:val="24"/>
        </w:rPr>
      </w:pPr>
    </w:p>
    <w:p w14:paraId="411272A0"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36" w:name="_heading=h.35nkun2" w:colFirst="0" w:colLast="0"/>
      <w:bookmarkStart w:id="37" w:name="_Toc151281951"/>
      <w:bookmarkEnd w:id="36"/>
      <w:r w:rsidRPr="001D41A5">
        <w:rPr>
          <w:rFonts w:ascii="Times New Roman" w:eastAsia="Times New Roman" w:hAnsi="Times New Roman" w:cs="Times New Roman"/>
          <w:b/>
          <w:color w:val="000000"/>
          <w:sz w:val="24"/>
          <w:szCs w:val="24"/>
        </w:rPr>
        <w:t>Resolución 13314 del 2001</w:t>
      </w:r>
      <w:bookmarkEnd w:id="37"/>
    </w:p>
    <w:p w14:paraId="7BC44634" w14:textId="77777777" w:rsidR="00244F7E" w:rsidRPr="001D41A5" w:rsidRDefault="00244F7E" w:rsidP="00025654">
      <w:pPr>
        <w:spacing w:before="70" w:line="480" w:lineRule="auto"/>
        <w:ind w:left="1" w:right="7" w:firstLine="720"/>
        <w:jc w:val="both"/>
        <w:rPr>
          <w:rFonts w:ascii="Times New Roman" w:eastAsia="Times New Roman" w:hAnsi="Times New Roman" w:cs="Times New Roman"/>
          <w:sz w:val="24"/>
          <w:szCs w:val="24"/>
        </w:rPr>
      </w:pPr>
    </w:p>
    <w:p w14:paraId="33C6302D" w14:textId="77777777" w:rsidR="00244F7E" w:rsidRPr="001D41A5" w:rsidRDefault="00BF19B4" w:rsidP="00025654">
      <w:pP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Dando cumplimiento a la sentencia antes desarrollada de la Corte Constitucional, la SIC (2001) expide esta Resolución, por medio de la cual se modifica el trámite dispuesto y queda simplemente administrando una lista de personas inscritas; a su vez, teniendo en cuenta el carácter público que le da esta norma a la inscripción, la SIC deja abierta la posibilidad de que cualquiera, sin discriminación alguna, pudiese solicitar su inscripción como avaluador.</w:t>
      </w:r>
    </w:p>
    <w:p w14:paraId="55330EC8" w14:textId="77777777" w:rsidR="00244F7E" w:rsidRPr="001D41A5" w:rsidRDefault="00244F7E" w:rsidP="00025654">
      <w:pPr>
        <w:spacing w:before="70" w:line="480" w:lineRule="auto"/>
        <w:ind w:left="1" w:right="7" w:firstLine="720"/>
        <w:jc w:val="both"/>
        <w:rPr>
          <w:rFonts w:ascii="Times New Roman" w:eastAsia="Times New Roman" w:hAnsi="Times New Roman" w:cs="Times New Roman"/>
          <w:sz w:val="24"/>
          <w:szCs w:val="24"/>
        </w:rPr>
      </w:pPr>
    </w:p>
    <w:p w14:paraId="22CADFBB" w14:textId="77777777" w:rsidR="00244F7E" w:rsidRPr="001D41A5" w:rsidRDefault="00BF19B4" w:rsidP="00025654">
      <w:pPr>
        <w:spacing w:before="70" w:line="480" w:lineRule="auto"/>
        <w:ind w:left="1"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Una de las conclusiones que se puede extraer sobre esta Resolución es que, a pesar de que se estaba haciendo caso a una providencia emitida por un alto tribunal, y más constitucional, se dejó abierto el registro para que, en otras palabras, las personas pudiesen ser designadas como avaluadores en áreas en las cuales no acreditaran el conocimiento que se requiere, no por ley realmente, sino por técnica.</w:t>
      </w:r>
    </w:p>
    <w:p w14:paraId="5BF5D0F0" w14:textId="77777777" w:rsidR="00244F7E" w:rsidRPr="001D41A5" w:rsidRDefault="00244F7E" w:rsidP="00025654">
      <w:pPr>
        <w:spacing w:before="70" w:line="480" w:lineRule="auto"/>
        <w:ind w:left="1" w:right="7" w:firstLine="720"/>
        <w:jc w:val="both"/>
        <w:rPr>
          <w:rFonts w:ascii="Times New Roman" w:eastAsia="Times New Roman" w:hAnsi="Times New Roman" w:cs="Times New Roman"/>
          <w:b/>
          <w:sz w:val="24"/>
          <w:szCs w:val="24"/>
        </w:rPr>
      </w:pPr>
    </w:p>
    <w:p w14:paraId="005D7663"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38" w:name="_heading=h.1ksv4uv" w:colFirst="0" w:colLast="0"/>
      <w:bookmarkStart w:id="39" w:name="_Toc151281952"/>
      <w:bookmarkEnd w:id="38"/>
      <w:r w:rsidRPr="001D41A5">
        <w:rPr>
          <w:rFonts w:ascii="Times New Roman" w:eastAsia="Times New Roman" w:hAnsi="Times New Roman" w:cs="Times New Roman"/>
          <w:b/>
          <w:color w:val="000000"/>
          <w:sz w:val="24"/>
          <w:szCs w:val="24"/>
        </w:rPr>
        <w:t>Resolución 620 de 2008</w:t>
      </w:r>
      <w:bookmarkEnd w:id="39"/>
    </w:p>
    <w:p w14:paraId="1C93565C" w14:textId="77777777" w:rsidR="00244F7E" w:rsidRPr="001D41A5" w:rsidRDefault="00244F7E" w:rsidP="00025654">
      <w:pPr>
        <w:spacing w:before="70" w:line="480" w:lineRule="auto"/>
        <w:ind w:left="1" w:right="7" w:firstLine="720"/>
        <w:jc w:val="both"/>
        <w:rPr>
          <w:rFonts w:ascii="Times New Roman" w:eastAsia="Times New Roman" w:hAnsi="Times New Roman" w:cs="Times New Roman"/>
          <w:b/>
          <w:sz w:val="24"/>
          <w:szCs w:val="24"/>
        </w:rPr>
      </w:pPr>
    </w:p>
    <w:p w14:paraId="5B64C936" w14:textId="77777777" w:rsidR="00244F7E" w:rsidRPr="001D41A5" w:rsidRDefault="00BF19B4" w:rsidP="00025654">
      <w:pPr>
        <w:spacing w:before="70" w:line="480" w:lineRule="auto"/>
        <w:ind w:left="1"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Aunque se dijo que por medio de esta Resolución (2008) se establece un procedimiento para determinar el valor de los inmuebles objeto de procesos de enajenación voluntaria y forzosa desarrollados por la Ley 388 de 1997, los conceptos desarrollados por esta ley (1997) han sido utilizados para la elaboración de avalúos que son utilizados en diferentes procesos administrativos, judiciales, civiles, laborales, notariales, entre otros.</w:t>
      </w:r>
    </w:p>
    <w:p w14:paraId="4487F0E9" w14:textId="77777777" w:rsidR="00244F7E" w:rsidRPr="001D41A5" w:rsidRDefault="00244F7E" w:rsidP="00025654">
      <w:pPr>
        <w:spacing w:before="70" w:line="480" w:lineRule="auto"/>
        <w:ind w:left="1" w:right="7" w:firstLine="720"/>
        <w:jc w:val="both"/>
        <w:rPr>
          <w:rFonts w:ascii="Times New Roman" w:eastAsia="Times New Roman" w:hAnsi="Times New Roman" w:cs="Times New Roman"/>
          <w:sz w:val="24"/>
          <w:szCs w:val="24"/>
        </w:rPr>
      </w:pPr>
    </w:p>
    <w:p w14:paraId="2E3201BF" w14:textId="77777777" w:rsidR="00244F7E" w:rsidRPr="001D41A5" w:rsidRDefault="00BF19B4" w:rsidP="00025654">
      <w:pPr>
        <w:spacing w:before="70" w:line="480" w:lineRule="auto"/>
        <w:ind w:left="1"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Sin duda alguna el IGAC, por medio de la Resolución 620 (2008), recopila y desarrolla de manera precisa los procedimientos existentes para la elaboración de avalúos, dando un soporte legal a las técnicas empleadas para la emisión de dictámenes, clasificándolos en cuatro diferentes métodos valuatorios:</w:t>
      </w:r>
    </w:p>
    <w:p w14:paraId="4F79D3D4" w14:textId="77777777" w:rsidR="00244F7E" w:rsidRPr="001D41A5" w:rsidRDefault="00244F7E" w:rsidP="00025654">
      <w:pPr>
        <w:spacing w:before="70" w:line="480" w:lineRule="auto"/>
        <w:ind w:left="1" w:right="7" w:firstLine="720"/>
        <w:jc w:val="both"/>
        <w:rPr>
          <w:rFonts w:ascii="Times New Roman" w:eastAsia="Times New Roman" w:hAnsi="Times New Roman" w:cs="Times New Roman"/>
          <w:sz w:val="24"/>
          <w:szCs w:val="24"/>
        </w:rPr>
      </w:pPr>
    </w:p>
    <w:p w14:paraId="0FC044E2" w14:textId="77777777" w:rsidR="00244F7E" w:rsidRPr="001D41A5" w:rsidRDefault="00BF19B4" w:rsidP="00025654">
      <w:pPr>
        <w:numPr>
          <w:ilvl w:val="0"/>
          <w:numId w:val="1"/>
        </w:numPr>
        <w:pBdr>
          <w:top w:val="nil"/>
          <w:left w:val="nil"/>
          <w:bottom w:val="nil"/>
          <w:right w:val="nil"/>
          <w:between w:val="nil"/>
        </w:pBdr>
        <w:spacing w:before="70"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Comparación o de mercado.</w:t>
      </w:r>
    </w:p>
    <w:p w14:paraId="5E1F55E9" w14:textId="77777777" w:rsidR="00244F7E" w:rsidRPr="001D41A5" w:rsidRDefault="00BF19B4" w:rsidP="00025654">
      <w:pPr>
        <w:numPr>
          <w:ilvl w:val="0"/>
          <w:numId w:val="1"/>
        </w:numPr>
        <w:pBdr>
          <w:top w:val="nil"/>
          <w:left w:val="nil"/>
          <w:bottom w:val="nil"/>
          <w:right w:val="nil"/>
          <w:between w:val="nil"/>
        </w:pBdr>
        <w:spacing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Capitalización de rentas o ingresos.</w:t>
      </w:r>
    </w:p>
    <w:p w14:paraId="732FB43E" w14:textId="77777777" w:rsidR="00244F7E" w:rsidRPr="001D41A5" w:rsidRDefault="00BF19B4" w:rsidP="00025654">
      <w:pPr>
        <w:numPr>
          <w:ilvl w:val="0"/>
          <w:numId w:val="1"/>
        </w:numPr>
        <w:pBdr>
          <w:top w:val="nil"/>
          <w:left w:val="nil"/>
          <w:bottom w:val="nil"/>
          <w:right w:val="nil"/>
          <w:between w:val="nil"/>
        </w:pBdr>
        <w:spacing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Costo de reposición.</w:t>
      </w:r>
    </w:p>
    <w:p w14:paraId="08229E3F" w14:textId="77777777" w:rsidR="00244F7E" w:rsidRPr="001D41A5" w:rsidRDefault="00BF19B4" w:rsidP="00025654">
      <w:pPr>
        <w:numPr>
          <w:ilvl w:val="0"/>
          <w:numId w:val="1"/>
        </w:numPr>
        <w:pBdr>
          <w:top w:val="nil"/>
          <w:left w:val="nil"/>
          <w:bottom w:val="nil"/>
          <w:right w:val="nil"/>
          <w:between w:val="nil"/>
        </w:pBdr>
        <w:spacing w:line="480" w:lineRule="auto"/>
        <w:ind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Técnica residual. </w:t>
      </w:r>
    </w:p>
    <w:p w14:paraId="331D83C5" w14:textId="77777777" w:rsidR="00244F7E" w:rsidRPr="001D41A5" w:rsidRDefault="00244F7E" w:rsidP="00025654">
      <w:pPr>
        <w:pBdr>
          <w:top w:val="nil"/>
          <w:left w:val="nil"/>
          <w:bottom w:val="nil"/>
          <w:right w:val="nil"/>
          <w:between w:val="nil"/>
        </w:pBdr>
        <w:spacing w:line="480" w:lineRule="auto"/>
        <w:ind w:left="1444" w:right="7" w:firstLine="720"/>
        <w:jc w:val="both"/>
        <w:rPr>
          <w:rFonts w:ascii="Times New Roman" w:eastAsia="Times New Roman" w:hAnsi="Times New Roman" w:cs="Times New Roman"/>
          <w:sz w:val="24"/>
          <w:szCs w:val="24"/>
        </w:rPr>
      </w:pPr>
    </w:p>
    <w:p w14:paraId="0E54EED7" w14:textId="77777777" w:rsidR="00244F7E" w:rsidRPr="001D41A5" w:rsidRDefault="00BF19B4" w:rsidP="00025654">
      <w:pPr>
        <w:spacing w:before="70" w:line="480" w:lineRule="auto"/>
        <w:ind w:left="1"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 así como a través de esta expresión normativa (2008) se le da un reconocimiento a estos métodos, que requieren una documentación específica.</w:t>
      </w:r>
    </w:p>
    <w:p w14:paraId="6B5B7283" w14:textId="77777777" w:rsidR="00244F7E" w:rsidRPr="001D41A5" w:rsidRDefault="00244F7E" w:rsidP="00025654">
      <w:pPr>
        <w:spacing w:before="70" w:line="480" w:lineRule="auto"/>
        <w:ind w:left="1" w:right="7" w:firstLine="720"/>
        <w:jc w:val="both"/>
        <w:rPr>
          <w:rFonts w:ascii="Times New Roman" w:eastAsia="Times New Roman" w:hAnsi="Times New Roman" w:cs="Times New Roman"/>
          <w:sz w:val="24"/>
          <w:szCs w:val="24"/>
        </w:rPr>
      </w:pPr>
    </w:p>
    <w:p w14:paraId="2E450593" w14:textId="77777777" w:rsidR="00244F7E" w:rsidRPr="001D41A5" w:rsidRDefault="00BF19B4" w:rsidP="00025654">
      <w:pPr>
        <w:spacing w:before="70" w:line="480" w:lineRule="auto"/>
        <w:ind w:left="1"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Esa documentación específica es la contenida en el artículo 13 del Decreto 1420 (1998), por medio del cual se establecen unos pasos y características de identificación, en donde obliga a tener en cuenta características del inmueble como su forma física, estado legal, tipo de inmueble, etc. </w:t>
      </w:r>
    </w:p>
    <w:p w14:paraId="28F3A727" w14:textId="77777777" w:rsidR="00244F7E" w:rsidRPr="001D41A5" w:rsidRDefault="00244F7E" w:rsidP="00025654">
      <w:pPr>
        <w:spacing w:before="70" w:line="480" w:lineRule="auto"/>
        <w:ind w:left="1" w:right="7" w:firstLine="720"/>
        <w:jc w:val="both"/>
        <w:rPr>
          <w:rFonts w:ascii="Times New Roman" w:eastAsia="Times New Roman" w:hAnsi="Times New Roman" w:cs="Times New Roman"/>
          <w:sz w:val="24"/>
          <w:szCs w:val="24"/>
        </w:rPr>
      </w:pPr>
    </w:p>
    <w:p w14:paraId="26605956" w14:textId="04BA44DD" w:rsidR="00244F7E" w:rsidRPr="001D41A5" w:rsidRDefault="00BF19B4" w:rsidP="00025654">
      <w:pPr>
        <w:spacing w:before="70" w:line="480" w:lineRule="auto"/>
        <w:ind w:left="1"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Por medio de distintas fórmulas (1998) y estadísticas se brinda una herramienta para sustentar el avalúo conforme al método utilizado, ya </w:t>
      </w:r>
      <w:r w:rsidR="00F1082C" w:rsidRPr="001D41A5">
        <w:rPr>
          <w:rFonts w:ascii="Times New Roman" w:eastAsia="Times New Roman" w:hAnsi="Times New Roman" w:cs="Times New Roman"/>
          <w:sz w:val="24"/>
          <w:szCs w:val="24"/>
        </w:rPr>
        <w:t>que,</w:t>
      </w:r>
      <w:r w:rsidRPr="001D41A5">
        <w:rPr>
          <w:rFonts w:ascii="Times New Roman" w:eastAsia="Times New Roman" w:hAnsi="Times New Roman" w:cs="Times New Roman"/>
          <w:sz w:val="24"/>
          <w:szCs w:val="24"/>
        </w:rPr>
        <w:t xml:space="preserve"> aunque cada método emplea una técnica o formula diferente hay constantes comunes que no varían pues todos los inmuebles siempre van a tener un área, unos linderos, una ubicación, un estado de conservación, entre otras muchas características propias de ese tipo de bienes.</w:t>
      </w:r>
    </w:p>
    <w:p w14:paraId="59500DBC" w14:textId="77777777" w:rsidR="00244F7E" w:rsidRPr="001D41A5" w:rsidRDefault="00244F7E" w:rsidP="00025654">
      <w:pPr>
        <w:spacing w:before="70" w:line="480" w:lineRule="auto"/>
        <w:ind w:left="1" w:right="7" w:firstLine="720"/>
        <w:jc w:val="both"/>
        <w:rPr>
          <w:rFonts w:ascii="Times New Roman" w:eastAsia="Times New Roman" w:hAnsi="Times New Roman" w:cs="Times New Roman"/>
          <w:sz w:val="24"/>
          <w:szCs w:val="24"/>
        </w:rPr>
      </w:pPr>
    </w:p>
    <w:p w14:paraId="6F2BC8CD" w14:textId="77777777" w:rsidR="00244F7E" w:rsidRPr="001D41A5" w:rsidRDefault="00BF19B4" w:rsidP="00025654">
      <w:pPr>
        <w:spacing w:before="70" w:line="480" w:lineRule="auto"/>
        <w:ind w:left="1" w:right="7"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Resolución (1998) incluso en su capítulo 6 establece una competencia para resolver las impugnaciones que se presenten frente a la emisión del avalúo realizado por el IGAC; y si bien es cierto, no se extiende en profundidad a mirar los aspectos legales de los inmuebles, si es una gran herramienta para determinar qué tan veraz es la información contenida en el dictamen, constituyéndose en la norma garante en materia de inmuebles.</w:t>
      </w:r>
    </w:p>
    <w:p w14:paraId="7DC342B3" w14:textId="4938FFEE" w:rsidR="00244F7E" w:rsidRDefault="00244F7E" w:rsidP="00025654">
      <w:pPr>
        <w:spacing w:before="70" w:line="480" w:lineRule="auto"/>
        <w:ind w:left="1" w:right="7" w:firstLine="720"/>
        <w:jc w:val="both"/>
        <w:rPr>
          <w:rFonts w:ascii="Times New Roman" w:eastAsia="Times New Roman" w:hAnsi="Times New Roman" w:cs="Times New Roman"/>
          <w:sz w:val="24"/>
          <w:szCs w:val="24"/>
        </w:rPr>
      </w:pPr>
    </w:p>
    <w:p w14:paraId="2ABF26B4" w14:textId="023C87AF" w:rsidR="00D1489C" w:rsidRDefault="00D1489C" w:rsidP="00025654">
      <w:pPr>
        <w:spacing w:before="70" w:line="480" w:lineRule="auto"/>
        <w:ind w:left="1" w:right="7" w:firstLine="720"/>
        <w:jc w:val="both"/>
        <w:rPr>
          <w:rFonts w:ascii="Times New Roman" w:eastAsia="Times New Roman" w:hAnsi="Times New Roman" w:cs="Times New Roman"/>
          <w:sz w:val="24"/>
          <w:szCs w:val="24"/>
        </w:rPr>
      </w:pPr>
    </w:p>
    <w:p w14:paraId="672DF234" w14:textId="77777777" w:rsidR="00D1489C" w:rsidRPr="001D41A5" w:rsidRDefault="00D1489C" w:rsidP="00025654">
      <w:pPr>
        <w:spacing w:before="70" w:line="480" w:lineRule="auto"/>
        <w:ind w:left="1" w:right="7" w:firstLine="720"/>
        <w:jc w:val="both"/>
        <w:rPr>
          <w:rFonts w:ascii="Times New Roman" w:eastAsia="Times New Roman" w:hAnsi="Times New Roman" w:cs="Times New Roman"/>
          <w:sz w:val="24"/>
          <w:szCs w:val="24"/>
        </w:rPr>
      </w:pPr>
    </w:p>
    <w:p w14:paraId="46E2D253"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40" w:name="_heading=h.44sinio" w:colFirst="0" w:colLast="0"/>
      <w:bookmarkStart w:id="41" w:name="_Toc151281953"/>
      <w:bookmarkEnd w:id="40"/>
      <w:r w:rsidRPr="001D41A5">
        <w:rPr>
          <w:rFonts w:ascii="Times New Roman" w:eastAsia="Times New Roman" w:hAnsi="Times New Roman" w:cs="Times New Roman"/>
          <w:b/>
          <w:color w:val="000000"/>
          <w:sz w:val="24"/>
          <w:szCs w:val="24"/>
        </w:rPr>
        <w:lastRenderedPageBreak/>
        <w:t>Ley 1673 de 2013</w:t>
      </w:r>
      <w:bookmarkEnd w:id="41"/>
    </w:p>
    <w:p w14:paraId="06AB9964" w14:textId="77777777" w:rsidR="00244F7E" w:rsidRPr="001D41A5" w:rsidRDefault="00244F7E" w:rsidP="00025654">
      <w:pPr>
        <w:spacing w:before="70" w:line="480" w:lineRule="auto"/>
        <w:ind w:left="1" w:right="7" w:firstLine="720"/>
        <w:jc w:val="both"/>
        <w:rPr>
          <w:rFonts w:ascii="Times New Roman" w:eastAsia="Times New Roman" w:hAnsi="Times New Roman" w:cs="Times New Roman"/>
          <w:sz w:val="24"/>
          <w:szCs w:val="24"/>
        </w:rPr>
      </w:pPr>
    </w:p>
    <w:p w14:paraId="00283FA3"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Después de casi cinco años sin expedición de normas tendientes a regular la materia de los avalúos inmobiliarios, el Congreso de la Republica emitió la presente ley (2013), la cual se enfoca en tratar de subsanar ese vacío normativo creado por la Sentencia C/1265 de 2000 en lo referente al control que se debe tener con respecto a las personas que ejercen la actividad de avaluadores. </w:t>
      </w:r>
    </w:p>
    <w:p w14:paraId="231E0D6F"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46EFF405" w14:textId="3FA5B565" w:rsidR="00244F7E" w:rsidRDefault="00BF19B4" w:rsidP="00725811">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Aunque esta ley (2013) se enfoca de manera general a todos los que ejercen la actividad de avaluadores claramente acoge a aquellos especializados en materia inmobiliaria, es evidente que representa un cambio total en esta materia, de manera específica los cambios más relevantes introducidos son los expuestos en los siguientes párrafos.</w:t>
      </w:r>
    </w:p>
    <w:p w14:paraId="532CBCDB" w14:textId="77777777" w:rsidR="00725811" w:rsidRPr="001D41A5" w:rsidRDefault="00725811" w:rsidP="00725811">
      <w:pPr>
        <w:spacing w:before="69" w:line="480" w:lineRule="auto"/>
        <w:ind w:firstLine="720"/>
        <w:jc w:val="both"/>
        <w:rPr>
          <w:rFonts w:ascii="Times New Roman" w:eastAsia="Times New Roman" w:hAnsi="Times New Roman" w:cs="Times New Roman"/>
          <w:sz w:val="24"/>
          <w:szCs w:val="24"/>
        </w:rPr>
      </w:pPr>
    </w:p>
    <w:p w14:paraId="7E713795"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Crea el Registro Abierto de Avaluadores (RAA) antes conocido como Registro Nacional de Avaluadores (RNA), implantando unos requisitos específicos para solicitar la inscripción.</w:t>
      </w:r>
    </w:p>
    <w:p w14:paraId="586E522D"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1B537CB7"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Se establece (2013) que el RAA permite a los avaluadores ejercer su actividad en todo el territorio nacional, aspecto que resulta importante para los avaluadores de inmuebles toda vez que para dictar cierta clase de avalúos de este tipo se requería que la persona estuviera inscrita en el lugar donde estuviera ubicada el inmueble; aunque a esta norma actualmente se le están haciendo unos decretos reglamentarios resulta interesante saber que alcance se la va a dar a dicha disposición.</w:t>
      </w:r>
    </w:p>
    <w:p w14:paraId="6CE42F53"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08F881DC"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Se establece (2013) un régimen de faltas, inhabilidades, impedimentos e incompatibilidades para ejercer la actividad, hecho que resulta importante ya que genera más seguridad sobre la persona encargada de emitir el avalúo; de la misma manera se establece un código ético y de deberes que involucra al avaluador con sus clientes.</w:t>
      </w:r>
    </w:p>
    <w:p w14:paraId="409A8E64"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5DF80A36" w14:textId="60BDF434"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Un cambio importante de la ley (2013) es que el Ministerio de Comercio, Industria y Turismo pasa a ejercer funciones de inspección, vigilancia y control específicamente sobre las entidades reconocidas en el sector inmobiliario y sus respectivos miembros, instando incluso a la SIC para que aplique las sanciones y procedimientos establecidos en la expresión normativa. Sin duda alguna en materia de avaluadores inmobiliarios la norma es bastante rígida y busca que aquellos que ejercen esta actividad estén mucho más preparados para emitir dictámenes.</w:t>
      </w:r>
    </w:p>
    <w:p w14:paraId="724E5A56" w14:textId="77777777" w:rsidR="003E7B81" w:rsidRPr="001D41A5" w:rsidRDefault="003E7B81" w:rsidP="00025654">
      <w:pPr>
        <w:spacing w:before="69" w:line="480" w:lineRule="auto"/>
        <w:ind w:firstLine="720"/>
        <w:jc w:val="both"/>
        <w:rPr>
          <w:rFonts w:ascii="Times New Roman" w:eastAsia="Times New Roman" w:hAnsi="Times New Roman" w:cs="Times New Roman"/>
          <w:sz w:val="24"/>
          <w:szCs w:val="24"/>
        </w:rPr>
      </w:pPr>
    </w:p>
    <w:p w14:paraId="0FACA5D1" w14:textId="592F55C5"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Esta ley (2013) representa realmente un cambio importante en la historia de los avalúos en el país, pero aun así sea rígida con respecto a quienes soliciten ser avaluadores, no dispone una diferencia entre quienes realizan avalúos para predios rurales y quienes se dedican a otro tipo de avalúos inmobiliarios.</w:t>
      </w:r>
    </w:p>
    <w:p w14:paraId="07FA4E59" w14:textId="77777777" w:rsidR="00115DC2" w:rsidRPr="001D41A5" w:rsidRDefault="00115DC2" w:rsidP="00025654">
      <w:pPr>
        <w:spacing w:before="69" w:line="480" w:lineRule="auto"/>
        <w:ind w:firstLine="720"/>
        <w:jc w:val="both"/>
        <w:rPr>
          <w:rFonts w:ascii="Times New Roman" w:eastAsia="Times New Roman" w:hAnsi="Times New Roman" w:cs="Times New Roman"/>
          <w:sz w:val="24"/>
          <w:szCs w:val="24"/>
        </w:rPr>
      </w:pPr>
    </w:p>
    <w:p w14:paraId="01C1BF3E" w14:textId="0C7F5AE6" w:rsidR="003978E6" w:rsidRPr="001D41A5" w:rsidRDefault="00304816"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Si observamos con detenimiento, la metodología y los requisitos exigidos, por el marco normativo mencionado,</w:t>
      </w:r>
      <w:r w:rsidR="00077BED" w:rsidRPr="001D41A5">
        <w:rPr>
          <w:rFonts w:ascii="Times New Roman" w:eastAsia="Times New Roman" w:hAnsi="Times New Roman" w:cs="Times New Roman"/>
          <w:sz w:val="24"/>
          <w:szCs w:val="24"/>
        </w:rPr>
        <w:t xml:space="preserve"> hace referencia más </w:t>
      </w:r>
      <w:r w:rsidR="003978E6" w:rsidRPr="001D41A5">
        <w:rPr>
          <w:rFonts w:ascii="Times New Roman" w:eastAsia="Times New Roman" w:hAnsi="Times New Roman" w:cs="Times New Roman"/>
          <w:sz w:val="24"/>
          <w:szCs w:val="24"/>
        </w:rPr>
        <w:t>a</w:t>
      </w:r>
      <w:r w:rsidR="00077BED" w:rsidRPr="001D41A5">
        <w:rPr>
          <w:rFonts w:ascii="Times New Roman" w:eastAsia="Times New Roman" w:hAnsi="Times New Roman" w:cs="Times New Roman"/>
          <w:sz w:val="24"/>
          <w:szCs w:val="24"/>
        </w:rPr>
        <w:t xml:space="preserve"> persona recomendada que a un profesional en avalúos rurales</w:t>
      </w:r>
      <w:r w:rsidR="00AA501C" w:rsidRPr="001D41A5">
        <w:rPr>
          <w:rFonts w:ascii="Times New Roman" w:eastAsia="Times New Roman" w:hAnsi="Times New Roman" w:cs="Times New Roman"/>
          <w:sz w:val="24"/>
          <w:szCs w:val="24"/>
        </w:rPr>
        <w:t>.</w:t>
      </w:r>
      <w:r w:rsidR="00077BED" w:rsidRPr="001D41A5">
        <w:rPr>
          <w:rFonts w:ascii="Times New Roman" w:eastAsia="Times New Roman" w:hAnsi="Times New Roman" w:cs="Times New Roman"/>
          <w:sz w:val="24"/>
          <w:szCs w:val="24"/>
        </w:rPr>
        <w:t xml:space="preserve"> </w:t>
      </w:r>
      <w:r w:rsidR="00AA501C" w:rsidRPr="001D41A5">
        <w:rPr>
          <w:rFonts w:ascii="Times New Roman" w:eastAsia="Times New Roman" w:hAnsi="Times New Roman" w:cs="Times New Roman"/>
          <w:sz w:val="24"/>
          <w:szCs w:val="24"/>
        </w:rPr>
        <w:t>T</w:t>
      </w:r>
      <w:r w:rsidR="00077BED" w:rsidRPr="001D41A5">
        <w:rPr>
          <w:rFonts w:ascii="Times New Roman" w:eastAsia="Times New Roman" w:hAnsi="Times New Roman" w:cs="Times New Roman"/>
          <w:sz w:val="24"/>
          <w:szCs w:val="24"/>
        </w:rPr>
        <w:t>ales exigencias no t</w:t>
      </w:r>
      <w:r w:rsidR="003978E6" w:rsidRPr="001D41A5">
        <w:rPr>
          <w:rFonts w:ascii="Times New Roman" w:eastAsia="Times New Roman" w:hAnsi="Times New Roman" w:cs="Times New Roman"/>
          <w:sz w:val="24"/>
          <w:szCs w:val="24"/>
        </w:rPr>
        <w:t>ienen</w:t>
      </w:r>
      <w:r w:rsidR="00077BED" w:rsidRPr="001D41A5">
        <w:rPr>
          <w:rFonts w:ascii="Times New Roman" w:eastAsia="Times New Roman" w:hAnsi="Times New Roman" w:cs="Times New Roman"/>
          <w:sz w:val="24"/>
          <w:szCs w:val="24"/>
        </w:rPr>
        <w:t xml:space="preserve"> bases para determinar si la persona en su labor </w:t>
      </w:r>
      <w:r w:rsidR="003978E6" w:rsidRPr="001D41A5">
        <w:rPr>
          <w:rFonts w:ascii="Times New Roman" w:eastAsia="Times New Roman" w:hAnsi="Times New Roman" w:cs="Times New Roman"/>
          <w:sz w:val="24"/>
          <w:szCs w:val="24"/>
        </w:rPr>
        <w:t>está</w:t>
      </w:r>
      <w:r w:rsidR="00077BED" w:rsidRPr="001D41A5">
        <w:rPr>
          <w:rFonts w:ascii="Times New Roman" w:eastAsia="Times New Roman" w:hAnsi="Times New Roman" w:cs="Times New Roman"/>
          <w:sz w:val="24"/>
          <w:szCs w:val="24"/>
        </w:rPr>
        <w:t xml:space="preserve"> </w:t>
      </w:r>
      <w:r w:rsidR="003978E6" w:rsidRPr="001D41A5">
        <w:rPr>
          <w:rFonts w:ascii="Times New Roman" w:eastAsia="Times New Roman" w:hAnsi="Times New Roman" w:cs="Times New Roman"/>
          <w:sz w:val="24"/>
          <w:szCs w:val="24"/>
        </w:rPr>
        <w:t>presentando</w:t>
      </w:r>
      <w:r w:rsidR="00077BED" w:rsidRPr="001D41A5">
        <w:rPr>
          <w:rFonts w:ascii="Times New Roman" w:eastAsia="Times New Roman" w:hAnsi="Times New Roman" w:cs="Times New Roman"/>
          <w:sz w:val="24"/>
          <w:szCs w:val="24"/>
        </w:rPr>
        <w:t xml:space="preserve"> un producto serio y responsable</w:t>
      </w:r>
      <w:r w:rsidR="003978E6" w:rsidRPr="001D41A5">
        <w:rPr>
          <w:rFonts w:ascii="Times New Roman" w:eastAsia="Times New Roman" w:hAnsi="Times New Roman" w:cs="Times New Roman"/>
          <w:sz w:val="24"/>
          <w:szCs w:val="24"/>
        </w:rPr>
        <w:t xml:space="preserve"> con objetividad y sobre todo de conocer de los mercados es tener un procedimiento técnico con resultados sustentables demostrando que conoce con precisión el objeto que se avalúa.</w:t>
      </w:r>
    </w:p>
    <w:p w14:paraId="577FB428" w14:textId="77777777" w:rsidR="00115DC2" w:rsidRPr="001D41A5" w:rsidRDefault="00115DC2" w:rsidP="00025654">
      <w:pPr>
        <w:spacing w:before="69" w:line="480" w:lineRule="auto"/>
        <w:ind w:firstLine="720"/>
        <w:jc w:val="both"/>
        <w:rPr>
          <w:rFonts w:ascii="Times New Roman" w:eastAsia="Times New Roman" w:hAnsi="Times New Roman" w:cs="Times New Roman"/>
          <w:sz w:val="24"/>
          <w:szCs w:val="24"/>
        </w:rPr>
      </w:pPr>
    </w:p>
    <w:p w14:paraId="4A1ADD6F" w14:textId="2C7A5F4B" w:rsidR="00AA501C" w:rsidRPr="001D41A5" w:rsidRDefault="00AA501C"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En l</w:t>
      </w:r>
      <w:r w:rsidR="00304816" w:rsidRPr="001D41A5">
        <w:rPr>
          <w:rFonts w:ascii="Times New Roman" w:eastAsia="Times New Roman" w:hAnsi="Times New Roman" w:cs="Times New Roman"/>
          <w:sz w:val="24"/>
          <w:szCs w:val="24"/>
        </w:rPr>
        <w:t>a mayoría de las normas consultadas se analiza que</w:t>
      </w:r>
      <w:r w:rsidRPr="001D41A5">
        <w:rPr>
          <w:rFonts w:ascii="Times New Roman" w:eastAsia="Times New Roman" w:hAnsi="Times New Roman" w:cs="Times New Roman"/>
          <w:sz w:val="24"/>
          <w:szCs w:val="24"/>
        </w:rPr>
        <w:t xml:space="preserve"> se</w:t>
      </w:r>
      <w:r w:rsidR="00304816" w:rsidRPr="001D41A5">
        <w:rPr>
          <w:rFonts w:ascii="Times New Roman" w:eastAsia="Times New Roman" w:hAnsi="Times New Roman" w:cs="Times New Roman"/>
          <w:sz w:val="24"/>
          <w:szCs w:val="24"/>
        </w:rPr>
        <w:t xml:space="preserve"> l</w:t>
      </w:r>
      <w:r w:rsidR="00C53318" w:rsidRPr="001D41A5">
        <w:rPr>
          <w:rFonts w:ascii="Times New Roman" w:eastAsia="Times New Roman" w:hAnsi="Times New Roman" w:cs="Times New Roman"/>
          <w:sz w:val="24"/>
          <w:szCs w:val="24"/>
        </w:rPr>
        <w:t>e deja la</w:t>
      </w:r>
      <w:r w:rsidR="00304816" w:rsidRPr="001D41A5">
        <w:rPr>
          <w:rFonts w:ascii="Times New Roman" w:eastAsia="Times New Roman" w:hAnsi="Times New Roman" w:cs="Times New Roman"/>
          <w:sz w:val="24"/>
          <w:szCs w:val="24"/>
        </w:rPr>
        <w:t xml:space="preserve"> responsabilidad </w:t>
      </w:r>
      <w:r w:rsidR="00C53318" w:rsidRPr="001D41A5">
        <w:rPr>
          <w:rFonts w:ascii="Times New Roman" w:eastAsia="Times New Roman" w:hAnsi="Times New Roman" w:cs="Times New Roman"/>
          <w:sz w:val="24"/>
          <w:szCs w:val="24"/>
        </w:rPr>
        <w:t>inicialmente al instituto geográfico Agustín Codazzi</w:t>
      </w:r>
      <w:r w:rsidR="00304816" w:rsidRPr="001D41A5">
        <w:rPr>
          <w:rFonts w:ascii="Times New Roman" w:eastAsia="Times New Roman" w:hAnsi="Times New Roman" w:cs="Times New Roman"/>
          <w:sz w:val="24"/>
          <w:szCs w:val="24"/>
        </w:rPr>
        <w:t>,</w:t>
      </w:r>
      <w:r w:rsidR="001F4B73" w:rsidRPr="001D41A5">
        <w:rPr>
          <w:rFonts w:ascii="Times New Roman" w:eastAsia="Times New Roman" w:hAnsi="Times New Roman" w:cs="Times New Roman"/>
          <w:sz w:val="24"/>
          <w:szCs w:val="24"/>
        </w:rPr>
        <w:t xml:space="preserve"> siendo este ente</w:t>
      </w:r>
      <w:r w:rsidRPr="001D41A5">
        <w:rPr>
          <w:rFonts w:ascii="Times New Roman" w:eastAsia="Times New Roman" w:hAnsi="Times New Roman" w:cs="Times New Roman"/>
          <w:sz w:val="24"/>
          <w:szCs w:val="24"/>
        </w:rPr>
        <w:t xml:space="preserve"> el</w:t>
      </w:r>
      <w:r w:rsidR="001F4B73" w:rsidRPr="001D41A5">
        <w:rPr>
          <w:rFonts w:ascii="Times New Roman" w:eastAsia="Times New Roman" w:hAnsi="Times New Roman" w:cs="Times New Roman"/>
          <w:sz w:val="24"/>
          <w:szCs w:val="24"/>
        </w:rPr>
        <w:t xml:space="preserve"> que crea el catastro a nivel Nacional</w:t>
      </w:r>
      <w:r w:rsidRPr="001D41A5">
        <w:rPr>
          <w:rFonts w:ascii="Times New Roman" w:eastAsia="Times New Roman" w:hAnsi="Times New Roman" w:cs="Times New Roman"/>
          <w:sz w:val="24"/>
          <w:szCs w:val="24"/>
        </w:rPr>
        <w:t>.</w:t>
      </w:r>
      <w:r w:rsidR="001F4B73" w:rsidRPr="001D41A5">
        <w:rPr>
          <w:rFonts w:ascii="Times New Roman" w:eastAsia="Times New Roman" w:hAnsi="Times New Roman" w:cs="Times New Roman"/>
          <w:sz w:val="24"/>
          <w:szCs w:val="24"/>
        </w:rPr>
        <w:t xml:space="preserve"> </w:t>
      </w:r>
      <w:r w:rsidRPr="001D41A5">
        <w:rPr>
          <w:rFonts w:ascii="Times New Roman" w:eastAsia="Times New Roman" w:hAnsi="Times New Roman" w:cs="Times New Roman"/>
          <w:sz w:val="24"/>
          <w:szCs w:val="24"/>
        </w:rPr>
        <w:t>Y</w:t>
      </w:r>
      <w:r w:rsidR="001F4B73" w:rsidRPr="001D41A5">
        <w:rPr>
          <w:rFonts w:ascii="Times New Roman" w:eastAsia="Times New Roman" w:hAnsi="Times New Roman" w:cs="Times New Roman"/>
          <w:sz w:val="24"/>
          <w:szCs w:val="24"/>
        </w:rPr>
        <w:t>a</w:t>
      </w:r>
      <w:r w:rsidR="00D21DC2" w:rsidRPr="001D41A5">
        <w:rPr>
          <w:rFonts w:ascii="Times New Roman" w:eastAsia="Times New Roman" w:hAnsi="Times New Roman" w:cs="Times New Roman"/>
          <w:sz w:val="24"/>
          <w:szCs w:val="24"/>
        </w:rPr>
        <w:t xml:space="preserve"> es</w:t>
      </w:r>
      <w:r w:rsidR="001F4B73" w:rsidRPr="001D41A5">
        <w:rPr>
          <w:rFonts w:ascii="Times New Roman" w:eastAsia="Times New Roman" w:hAnsi="Times New Roman" w:cs="Times New Roman"/>
          <w:sz w:val="24"/>
          <w:szCs w:val="24"/>
        </w:rPr>
        <w:t xml:space="preserve"> después</w:t>
      </w:r>
      <w:r w:rsidR="00304816" w:rsidRPr="001D41A5">
        <w:rPr>
          <w:rFonts w:ascii="Times New Roman" w:eastAsia="Times New Roman" w:hAnsi="Times New Roman" w:cs="Times New Roman"/>
          <w:sz w:val="24"/>
          <w:szCs w:val="24"/>
        </w:rPr>
        <w:t xml:space="preserve"> donde los requisitos que se exigen</w:t>
      </w:r>
      <w:r w:rsidRPr="001D41A5">
        <w:rPr>
          <w:rFonts w:ascii="Times New Roman" w:eastAsia="Times New Roman" w:hAnsi="Times New Roman" w:cs="Times New Roman"/>
          <w:sz w:val="24"/>
          <w:szCs w:val="24"/>
        </w:rPr>
        <w:t xml:space="preserve"> </w:t>
      </w:r>
      <w:r w:rsidR="00304816" w:rsidRPr="001D41A5">
        <w:rPr>
          <w:rFonts w:ascii="Times New Roman" w:eastAsia="Times New Roman" w:hAnsi="Times New Roman" w:cs="Times New Roman"/>
          <w:sz w:val="24"/>
          <w:szCs w:val="24"/>
        </w:rPr>
        <w:t>se hacen de una forma muy general</w:t>
      </w:r>
      <w:r w:rsidRPr="001D41A5">
        <w:rPr>
          <w:rFonts w:ascii="Times New Roman" w:eastAsia="Times New Roman" w:hAnsi="Times New Roman" w:cs="Times New Roman"/>
          <w:sz w:val="24"/>
          <w:szCs w:val="24"/>
        </w:rPr>
        <w:t>,</w:t>
      </w:r>
      <w:r w:rsidR="00304816" w:rsidRPr="001D41A5">
        <w:rPr>
          <w:rFonts w:ascii="Times New Roman" w:eastAsia="Times New Roman" w:hAnsi="Times New Roman" w:cs="Times New Roman"/>
          <w:sz w:val="24"/>
          <w:szCs w:val="24"/>
        </w:rPr>
        <w:t xml:space="preserve"> con requerimientos muy pobres, pero no de conocimientos claros sobre el objeto que se avalúa</w:t>
      </w:r>
      <w:r w:rsidRPr="001D41A5">
        <w:rPr>
          <w:rFonts w:ascii="Times New Roman" w:eastAsia="Times New Roman" w:hAnsi="Times New Roman" w:cs="Times New Roman"/>
          <w:sz w:val="24"/>
          <w:szCs w:val="24"/>
        </w:rPr>
        <w:t xml:space="preserve">, </w:t>
      </w:r>
      <w:r w:rsidR="00304816" w:rsidRPr="001D41A5">
        <w:rPr>
          <w:rFonts w:ascii="Times New Roman" w:eastAsia="Times New Roman" w:hAnsi="Times New Roman" w:cs="Times New Roman"/>
          <w:sz w:val="24"/>
          <w:szCs w:val="24"/>
        </w:rPr>
        <w:t>y tratándose aún más de predios rurales</w:t>
      </w:r>
      <w:r w:rsidRPr="001D41A5">
        <w:rPr>
          <w:rFonts w:ascii="Times New Roman" w:eastAsia="Times New Roman" w:hAnsi="Times New Roman" w:cs="Times New Roman"/>
          <w:sz w:val="24"/>
          <w:szCs w:val="24"/>
        </w:rPr>
        <w:t>.</w:t>
      </w:r>
    </w:p>
    <w:p w14:paraId="4780D578" w14:textId="77777777" w:rsidR="00AA501C" w:rsidRPr="001D41A5" w:rsidRDefault="00AA501C" w:rsidP="00025654">
      <w:pPr>
        <w:spacing w:before="69" w:line="480" w:lineRule="auto"/>
        <w:ind w:firstLine="720"/>
        <w:jc w:val="both"/>
        <w:rPr>
          <w:rFonts w:ascii="Times New Roman" w:eastAsia="Times New Roman" w:hAnsi="Times New Roman" w:cs="Times New Roman"/>
          <w:sz w:val="24"/>
          <w:szCs w:val="24"/>
        </w:rPr>
      </w:pPr>
    </w:p>
    <w:p w14:paraId="0B6A230E" w14:textId="6D941D10" w:rsidR="00AB0AD0" w:rsidRPr="001D41A5" w:rsidRDefault="00AA501C"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w:t>
      </w:r>
      <w:r w:rsidR="00F1082C" w:rsidRPr="001D41A5">
        <w:rPr>
          <w:rFonts w:ascii="Times New Roman" w:eastAsia="Times New Roman" w:hAnsi="Times New Roman" w:cs="Times New Roman"/>
          <w:sz w:val="24"/>
          <w:szCs w:val="24"/>
        </w:rPr>
        <w:t>e crean las agremiaciones conocidas como las lonjas de propiedad raíz como la lonja de Bogotá</w:t>
      </w:r>
      <w:r w:rsidR="00D21DC2" w:rsidRPr="001D41A5">
        <w:rPr>
          <w:rFonts w:ascii="Times New Roman" w:eastAsia="Times New Roman" w:hAnsi="Times New Roman" w:cs="Times New Roman"/>
          <w:sz w:val="24"/>
          <w:szCs w:val="24"/>
        </w:rPr>
        <w:t xml:space="preserve"> y </w:t>
      </w:r>
      <w:r w:rsidR="00F1082C" w:rsidRPr="001D41A5">
        <w:rPr>
          <w:rFonts w:ascii="Times New Roman" w:eastAsia="Times New Roman" w:hAnsi="Times New Roman" w:cs="Times New Roman"/>
          <w:sz w:val="24"/>
          <w:szCs w:val="24"/>
        </w:rPr>
        <w:t>la lonja de Medellín para Antioquia</w:t>
      </w:r>
      <w:r w:rsidR="00D21DC2" w:rsidRPr="001D41A5">
        <w:rPr>
          <w:rFonts w:ascii="Times New Roman" w:eastAsia="Times New Roman" w:hAnsi="Times New Roman" w:cs="Times New Roman"/>
          <w:sz w:val="24"/>
          <w:szCs w:val="24"/>
        </w:rPr>
        <w:t>,</w:t>
      </w:r>
      <w:r w:rsidR="00F1082C" w:rsidRPr="001D41A5">
        <w:rPr>
          <w:rFonts w:ascii="Times New Roman" w:eastAsia="Times New Roman" w:hAnsi="Times New Roman" w:cs="Times New Roman"/>
          <w:sz w:val="24"/>
          <w:szCs w:val="24"/>
        </w:rPr>
        <w:t xml:space="preserve"> siendo estas las más representativas en el país</w:t>
      </w:r>
      <w:r w:rsidR="00D21DC2" w:rsidRPr="001D41A5">
        <w:rPr>
          <w:rFonts w:ascii="Times New Roman" w:eastAsia="Times New Roman" w:hAnsi="Times New Roman" w:cs="Times New Roman"/>
          <w:sz w:val="24"/>
          <w:szCs w:val="24"/>
        </w:rPr>
        <w:t>. C</w:t>
      </w:r>
      <w:r w:rsidR="00F1082C" w:rsidRPr="001D41A5">
        <w:rPr>
          <w:rFonts w:ascii="Times New Roman" w:eastAsia="Times New Roman" w:hAnsi="Times New Roman" w:cs="Times New Roman"/>
          <w:sz w:val="24"/>
          <w:szCs w:val="24"/>
        </w:rPr>
        <w:t xml:space="preserve">laro </w:t>
      </w:r>
      <w:r w:rsidR="00A10F3D" w:rsidRPr="001D41A5">
        <w:rPr>
          <w:rFonts w:ascii="Times New Roman" w:eastAsia="Times New Roman" w:hAnsi="Times New Roman" w:cs="Times New Roman"/>
          <w:sz w:val="24"/>
          <w:szCs w:val="24"/>
        </w:rPr>
        <w:t>está,</w:t>
      </w:r>
      <w:r w:rsidR="00F1082C" w:rsidRPr="001D41A5">
        <w:rPr>
          <w:rFonts w:ascii="Times New Roman" w:eastAsia="Times New Roman" w:hAnsi="Times New Roman" w:cs="Times New Roman"/>
          <w:sz w:val="24"/>
          <w:szCs w:val="24"/>
        </w:rPr>
        <w:t xml:space="preserve"> todo esto necesitaba del visto bueno de la </w:t>
      </w:r>
      <w:r w:rsidR="00D21DC2" w:rsidRPr="001D41A5">
        <w:rPr>
          <w:rFonts w:ascii="Times New Roman" w:eastAsia="Times New Roman" w:hAnsi="Times New Roman" w:cs="Times New Roman"/>
          <w:sz w:val="24"/>
          <w:szCs w:val="24"/>
        </w:rPr>
        <w:t>S</w:t>
      </w:r>
      <w:r w:rsidR="00F1082C" w:rsidRPr="001D41A5">
        <w:rPr>
          <w:rFonts w:ascii="Times New Roman" w:eastAsia="Times New Roman" w:hAnsi="Times New Roman" w:cs="Times New Roman"/>
          <w:sz w:val="24"/>
          <w:szCs w:val="24"/>
        </w:rPr>
        <w:t xml:space="preserve">uperintendencia de </w:t>
      </w:r>
      <w:r w:rsidR="00D21DC2" w:rsidRPr="001D41A5">
        <w:rPr>
          <w:rFonts w:ascii="Times New Roman" w:eastAsia="Times New Roman" w:hAnsi="Times New Roman" w:cs="Times New Roman"/>
          <w:sz w:val="24"/>
          <w:szCs w:val="24"/>
        </w:rPr>
        <w:t>I</w:t>
      </w:r>
      <w:r w:rsidR="00F1082C" w:rsidRPr="001D41A5">
        <w:rPr>
          <w:rFonts w:ascii="Times New Roman" w:eastAsia="Times New Roman" w:hAnsi="Times New Roman" w:cs="Times New Roman"/>
          <w:sz w:val="24"/>
          <w:szCs w:val="24"/>
        </w:rPr>
        <w:t xml:space="preserve">ndustria y </w:t>
      </w:r>
      <w:r w:rsidR="00D21DC2" w:rsidRPr="001D41A5">
        <w:rPr>
          <w:rFonts w:ascii="Times New Roman" w:eastAsia="Times New Roman" w:hAnsi="Times New Roman" w:cs="Times New Roman"/>
          <w:sz w:val="24"/>
          <w:szCs w:val="24"/>
        </w:rPr>
        <w:t>C</w:t>
      </w:r>
      <w:r w:rsidR="00F1082C" w:rsidRPr="001D41A5">
        <w:rPr>
          <w:rFonts w:ascii="Times New Roman" w:eastAsia="Times New Roman" w:hAnsi="Times New Roman" w:cs="Times New Roman"/>
          <w:sz w:val="24"/>
          <w:szCs w:val="24"/>
        </w:rPr>
        <w:t xml:space="preserve">omercio la que tendría una especie de inventario de </w:t>
      </w:r>
      <w:r w:rsidR="00A10F3D" w:rsidRPr="001D41A5">
        <w:rPr>
          <w:rFonts w:ascii="Times New Roman" w:eastAsia="Times New Roman" w:hAnsi="Times New Roman" w:cs="Times New Roman"/>
          <w:sz w:val="24"/>
          <w:szCs w:val="24"/>
        </w:rPr>
        <w:t>avaluadores</w:t>
      </w:r>
      <w:r w:rsidR="00F1082C" w:rsidRPr="001D41A5">
        <w:rPr>
          <w:rFonts w:ascii="Times New Roman" w:eastAsia="Times New Roman" w:hAnsi="Times New Roman" w:cs="Times New Roman"/>
          <w:sz w:val="24"/>
          <w:szCs w:val="24"/>
        </w:rPr>
        <w:t xml:space="preserve"> pero que a su vez le dejaba el negocio a las agremiaciones ya mencionadas donde se observaba un monopolio</w:t>
      </w:r>
      <w:r w:rsidR="00A10F3D" w:rsidRPr="001D41A5">
        <w:rPr>
          <w:rFonts w:ascii="Times New Roman" w:eastAsia="Times New Roman" w:hAnsi="Times New Roman" w:cs="Times New Roman"/>
          <w:sz w:val="24"/>
          <w:szCs w:val="24"/>
        </w:rPr>
        <w:t xml:space="preserve"> más que un interés por la capacitación y profesionalización necesaria de los avaluadores rurales, donde todo se queda en simples talleres, diplomados, charlas</w:t>
      </w:r>
      <w:r w:rsidR="003E7B81" w:rsidRPr="001D41A5">
        <w:rPr>
          <w:rFonts w:ascii="Times New Roman" w:eastAsia="Times New Roman" w:hAnsi="Times New Roman" w:cs="Times New Roman"/>
          <w:sz w:val="24"/>
          <w:szCs w:val="24"/>
        </w:rPr>
        <w:t>, algunos conversatorios, que en realidad no ahondan en el tema que es demasiado extenso y con unos saberes muy específicos.</w:t>
      </w:r>
    </w:p>
    <w:p w14:paraId="45D91B55" w14:textId="77777777" w:rsidR="004336AD" w:rsidRPr="001D41A5" w:rsidRDefault="004336AD" w:rsidP="00025654">
      <w:pPr>
        <w:spacing w:before="69" w:line="480" w:lineRule="auto"/>
        <w:ind w:firstLine="720"/>
        <w:jc w:val="both"/>
        <w:rPr>
          <w:rFonts w:ascii="Times New Roman" w:eastAsia="Times New Roman" w:hAnsi="Times New Roman" w:cs="Times New Roman"/>
          <w:sz w:val="24"/>
          <w:szCs w:val="24"/>
        </w:rPr>
      </w:pPr>
    </w:p>
    <w:p w14:paraId="069BB6E6" w14:textId="242D5D0B" w:rsidR="00AB0AD0" w:rsidRPr="001D41A5" w:rsidRDefault="00AB0AD0"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El legislador solo tipifica algunos métodos y presta unas formulas, mas no indica sobre otros saberes de gran importancia los cuales se omiten en la norma dada dejando esto al libre albedrio tanto de las personas naturales como también de las personas jurídicas </w:t>
      </w:r>
      <w:r w:rsidR="00D21DC2" w:rsidRPr="001D41A5">
        <w:rPr>
          <w:rFonts w:ascii="Times New Roman" w:eastAsia="Times New Roman" w:hAnsi="Times New Roman" w:cs="Times New Roman"/>
          <w:sz w:val="24"/>
          <w:szCs w:val="24"/>
        </w:rPr>
        <w:t xml:space="preserve">que actúan como </w:t>
      </w:r>
      <w:r w:rsidRPr="001D41A5">
        <w:rPr>
          <w:rFonts w:ascii="Times New Roman" w:eastAsia="Times New Roman" w:hAnsi="Times New Roman" w:cs="Times New Roman"/>
          <w:sz w:val="24"/>
          <w:szCs w:val="24"/>
        </w:rPr>
        <w:t>lonjas de propiedad raíz.</w:t>
      </w:r>
    </w:p>
    <w:p w14:paraId="07C37700" w14:textId="77777777" w:rsidR="004336AD" w:rsidRPr="001D41A5" w:rsidRDefault="004336AD" w:rsidP="00025654">
      <w:pPr>
        <w:spacing w:before="69" w:line="480" w:lineRule="auto"/>
        <w:ind w:firstLine="720"/>
        <w:jc w:val="both"/>
        <w:rPr>
          <w:rFonts w:ascii="Times New Roman" w:eastAsia="Times New Roman" w:hAnsi="Times New Roman" w:cs="Times New Roman"/>
          <w:sz w:val="24"/>
          <w:szCs w:val="24"/>
        </w:rPr>
      </w:pPr>
    </w:p>
    <w:p w14:paraId="506A40E3" w14:textId="03727710" w:rsidR="004336AD" w:rsidRPr="001D41A5" w:rsidRDefault="00AB0AD0"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 </w:t>
      </w:r>
      <w:r w:rsidR="003E7B81" w:rsidRPr="001D41A5">
        <w:rPr>
          <w:rFonts w:ascii="Times New Roman" w:eastAsia="Times New Roman" w:hAnsi="Times New Roman" w:cs="Times New Roman"/>
          <w:sz w:val="24"/>
          <w:szCs w:val="24"/>
        </w:rPr>
        <w:t xml:space="preserve">   </w:t>
      </w:r>
      <w:r w:rsidR="00D21DC2" w:rsidRPr="001D41A5">
        <w:rPr>
          <w:rFonts w:ascii="Times New Roman" w:eastAsia="Times New Roman" w:hAnsi="Times New Roman" w:cs="Times New Roman"/>
          <w:sz w:val="24"/>
          <w:szCs w:val="24"/>
        </w:rPr>
        <w:t>Se identifica otro caso con respecto a</w:t>
      </w:r>
      <w:r w:rsidRPr="001D41A5">
        <w:rPr>
          <w:rFonts w:ascii="Times New Roman" w:eastAsia="Times New Roman" w:hAnsi="Times New Roman" w:cs="Times New Roman"/>
          <w:sz w:val="24"/>
          <w:szCs w:val="24"/>
        </w:rPr>
        <w:t xml:space="preserve"> los avalúos rurales de fincas productivas</w:t>
      </w:r>
      <w:r w:rsidR="00D21DC2" w:rsidRPr="001D41A5">
        <w:rPr>
          <w:rFonts w:ascii="Times New Roman" w:eastAsia="Times New Roman" w:hAnsi="Times New Roman" w:cs="Times New Roman"/>
          <w:sz w:val="24"/>
          <w:szCs w:val="24"/>
        </w:rPr>
        <w:t>, casos en</w:t>
      </w:r>
      <w:r w:rsidRPr="001D41A5">
        <w:rPr>
          <w:rFonts w:ascii="Times New Roman" w:eastAsia="Times New Roman" w:hAnsi="Times New Roman" w:cs="Times New Roman"/>
          <w:sz w:val="24"/>
          <w:szCs w:val="24"/>
        </w:rPr>
        <w:t xml:space="preserve"> donde la necesidad más grande la tienen las entidades financieras </w:t>
      </w:r>
      <w:r w:rsidR="00D21DC2" w:rsidRPr="001D41A5">
        <w:rPr>
          <w:rFonts w:ascii="Times New Roman" w:eastAsia="Times New Roman" w:hAnsi="Times New Roman" w:cs="Times New Roman"/>
          <w:sz w:val="24"/>
          <w:szCs w:val="24"/>
        </w:rPr>
        <w:t>para poder otorgar</w:t>
      </w:r>
      <w:r w:rsidRPr="001D41A5">
        <w:rPr>
          <w:rFonts w:ascii="Times New Roman" w:eastAsia="Times New Roman" w:hAnsi="Times New Roman" w:cs="Times New Roman"/>
          <w:sz w:val="24"/>
          <w:szCs w:val="24"/>
        </w:rPr>
        <w:t xml:space="preserve"> un crédito </w:t>
      </w:r>
      <w:r w:rsidR="00D21DC2" w:rsidRPr="001D41A5">
        <w:rPr>
          <w:rFonts w:ascii="Times New Roman" w:eastAsia="Times New Roman" w:hAnsi="Times New Roman" w:cs="Times New Roman"/>
          <w:sz w:val="24"/>
          <w:szCs w:val="24"/>
        </w:rPr>
        <w:t>o</w:t>
      </w:r>
      <w:r w:rsidRPr="001D41A5">
        <w:rPr>
          <w:rFonts w:ascii="Times New Roman" w:eastAsia="Times New Roman" w:hAnsi="Times New Roman" w:cs="Times New Roman"/>
          <w:sz w:val="24"/>
          <w:szCs w:val="24"/>
        </w:rPr>
        <w:t xml:space="preserve"> hipotecar un bien inmueble rural</w:t>
      </w:r>
      <w:r w:rsidR="00D21DC2" w:rsidRPr="001D41A5">
        <w:rPr>
          <w:rFonts w:ascii="Times New Roman" w:eastAsia="Times New Roman" w:hAnsi="Times New Roman" w:cs="Times New Roman"/>
          <w:sz w:val="24"/>
          <w:szCs w:val="24"/>
        </w:rPr>
        <w:t>, momento en el que</w:t>
      </w:r>
      <w:r w:rsidRPr="001D41A5">
        <w:rPr>
          <w:rFonts w:ascii="Times New Roman" w:eastAsia="Times New Roman" w:hAnsi="Times New Roman" w:cs="Times New Roman"/>
          <w:sz w:val="24"/>
          <w:szCs w:val="24"/>
        </w:rPr>
        <w:t xml:space="preserve"> se necesita el experto</w:t>
      </w:r>
      <w:r w:rsidR="00D21DC2" w:rsidRPr="001D41A5">
        <w:rPr>
          <w:rFonts w:ascii="Times New Roman" w:eastAsia="Times New Roman" w:hAnsi="Times New Roman" w:cs="Times New Roman"/>
          <w:sz w:val="24"/>
          <w:szCs w:val="24"/>
        </w:rPr>
        <w:t xml:space="preserve"> concreto</w:t>
      </w:r>
      <w:r w:rsidRPr="001D41A5">
        <w:rPr>
          <w:rFonts w:ascii="Times New Roman" w:eastAsia="Times New Roman" w:hAnsi="Times New Roman" w:cs="Times New Roman"/>
          <w:sz w:val="24"/>
          <w:szCs w:val="24"/>
        </w:rPr>
        <w:t xml:space="preserve"> en esta área de avalúos rurales</w:t>
      </w:r>
      <w:r w:rsidR="00D21DC2" w:rsidRPr="001D41A5">
        <w:rPr>
          <w:rFonts w:ascii="Times New Roman" w:eastAsia="Times New Roman" w:hAnsi="Times New Roman" w:cs="Times New Roman"/>
          <w:sz w:val="24"/>
          <w:szCs w:val="24"/>
        </w:rPr>
        <w:t>. E</w:t>
      </w:r>
      <w:r w:rsidR="004336AD" w:rsidRPr="001D41A5">
        <w:rPr>
          <w:rFonts w:ascii="Times New Roman" w:eastAsia="Times New Roman" w:hAnsi="Times New Roman" w:cs="Times New Roman"/>
          <w:sz w:val="24"/>
          <w:szCs w:val="24"/>
        </w:rPr>
        <w:t>stas entidades ya tienen a su personal idóneo</w:t>
      </w:r>
      <w:r w:rsidR="00D21DC2" w:rsidRPr="001D41A5">
        <w:rPr>
          <w:rFonts w:ascii="Times New Roman" w:eastAsia="Times New Roman" w:hAnsi="Times New Roman" w:cs="Times New Roman"/>
          <w:sz w:val="24"/>
          <w:szCs w:val="24"/>
        </w:rPr>
        <w:t>,</w:t>
      </w:r>
      <w:r w:rsidR="004336AD" w:rsidRPr="001D41A5">
        <w:rPr>
          <w:rFonts w:ascii="Times New Roman" w:eastAsia="Times New Roman" w:hAnsi="Times New Roman" w:cs="Times New Roman"/>
          <w:sz w:val="24"/>
          <w:szCs w:val="24"/>
        </w:rPr>
        <w:t xml:space="preserve"> que sin embargo aun así se presentan inconvenientes con las personas que toman el crédito, ya en el desembolso </w:t>
      </w:r>
      <w:r w:rsidR="004336AD" w:rsidRPr="001D41A5">
        <w:rPr>
          <w:rFonts w:ascii="Times New Roman" w:eastAsia="Times New Roman" w:hAnsi="Times New Roman" w:cs="Times New Roman"/>
          <w:sz w:val="24"/>
          <w:szCs w:val="24"/>
        </w:rPr>
        <w:lastRenderedPageBreak/>
        <w:t>de este optan por dejar más bien que se haga efectiva la hipoteca lo que se conoce en las entidades financieras como ventas directas.</w:t>
      </w:r>
    </w:p>
    <w:p w14:paraId="6C98213E" w14:textId="77777777" w:rsidR="004336AD" w:rsidRPr="001D41A5" w:rsidRDefault="004336AD" w:rsidP="00025654">
      <w:pPr>
        <w:spacing w:before="69" w:line="480" w:lineRule="auto"/>
        <w:ind w:firstLine="720"/>
        <w:jc w:val="both"/>
        <w:rPr>
          <w:rFonts w:ascii="Times New Roman" w:eastAsia="Times New Roman" w:hAnsi="Times New Roman" w:cs="Times New Roman"/>
          <w:sz w:val="24"/>
          <w:szCs w:val="24"/>
        </w:rPr>
      </w:pPr>
    </w:p>
    <w:p w14:paraId="68BC9CA5" w14:textId="55EF2DF5" w:rsidR="00115DC2" w:rsidRPr="001D41A5" w:rsidRDefault="004336AD"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   </w:t>
      </w:r>
      <w:r w:rsidR="00AB0AD0" w:rsidRPr="001D41A5">
        <w:rPr>
          <w:rFonts w:ascii="Times New Roman" w:eastAsia="Times New Roman" w:hAnsi="Times New Roman" w:cs="Times New Roman"/>
          <w:sz w:val="24"/>
          <w:szCs w:val="24"/>
        </w:rPr>
        <w:t xml:space="preserve"> </w:t>
      </w:r>
      <w:r w:rsidR="00115DC2" w:rsidRPr="001D41A5">
        <w:rPr>
          <w:rFonts w:ascii="Times New Roman" w:eastAsia="Times New Roman" w:hAnsi="Times New Roman" w:cs="Times New Roman"/>
          <w:sz w:val="24"/>
          <w:szCs w:val="24"/>
        </w:rPr>
        <w:t>O como también en los casos donde un acreedor demanda a su deudor y este le realiza el pago con un bien inmueble rural mal tazado y se engaña al acreedor con un predio que muy por debajo de la realidad esta su verdadero valor comercial de dicho bien.</w:t>
      </w:r>
    </w:p>
    <w:p w14:paraId="53C302CB" w14:textId="77777777" w:rsidR="00FC1C00" w:rsidRPr="001D41A5" w:rsidRDefault="00FC1C00" w:rsidP="00025654">
      <w:pPr>
        <w:spacing w:before="69" w:line="480" w:lineRule="auto"/>
        <w:ind w:firstLine="720"/>
        <w:jc w:val="both"/>
        <w:rPr>
          <w:rFonts w:ascii="Times New Roman" w:eastAsia="Times New Roman" w:hAnsi="Times New Roman" w:cs="Times New Roman"/>
          <w:sz w:val="24"/>
          <w:szCs w:val="24"/>
        </w:rPr>
      </w:pPr>
    </w:p>
    <w:p w14:paraId="1635EB9A" w14:textId="7B4F0A12" w:rsidR="001A691D" w:rsidRPr="001D41A5" w:rsidRDefault="00115DC2"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  </w:t>
      </w:r>
      <w:r w:rsidR="00304816" w:rsidRPr="001D41A5">
        <w:rPr>
          <w:rFonts w:ascii="Times New Roman" w:eastAsia="Times New Roman" w:hAnsi="Times New Roman" w:cs="Times New Roman"/>
          <w:sz w:val="24"/>
          <w:szCs w:val="24"/>
        </w:rPr>
        <w:t xml:space="preserve"> </w:t>
      </w:r>
      <w:r w:rsidRPr="001D41A5">
        <w:rPr>
          <w:rFonts w:ascii="Times New Roman" w:eastAsia="Times New Roman" w:hAnsi="Times New Roman" w:cs="Times New Roman"/>
          <w:sz w:val="24"/>
          <w:szCs w:val="24"/>
        </w:rPr>
        <w:t xml:space="preserve">La norma ya mencionada en el trascurso de los años después de la constitución de </w:t>
      </w:r>
      <w:proofErr w:type="gramStart"/>
      <w:r w:rsidRPr="001D41A5">
        <w:rPr>
          <w:rFonts w:ascii="Times New Roman" w:eastAsia="Times New Roman" w:hAnsi="Times New Roman" w:cs="Times New Roman"/>
          <w:sz w:val="24"/>
          <w:szCs w:val="24"/>
        </w:rPr>
        <w:t>1991  es</w:t>
      </w:r>
      <w:proofErr w:type="gramEnd"/>
      <w:r w:rsidRPr="001D41A5">
        <w:rPr>
          <w:rFonts w:ascii="Times New Roman" w:eastAsia="Times New Roman" w:hAnsi="Times New Roman" w:cs="Times New Roman"/>
          <w:sz w:val="24"/>
          <w:szCs w:val="24"/>
        </w:rPr>
        <w:t xml:space="preserve"> demasiado desinteresada y permiten que sobre este </w:t>
      </w:r>
      <w:r w:rsidR="001A691D" w:rsidRPr="001D41A5">
        <w:rPr>
          <w:rFonts w:ascii="Times New Roman" w:eastAsia="Times New Roman" w:hAnsi="Times New Roman" w:cs="Times New Roman"/>
          <w:sz w:val="24"/>
          <w:szCs w:val="24"/>
        </w:rPr>
        <w:t>vacío</w:t>
      </w:r>
      <w:r w:rsidRPr="001D41A5">
        <w:rPr>
          <w:rFonts w:ascii="Times New Roman" w:eastAsia="Times New Roman" w:hAnsi="Times New Roman" w:cs="Times New Roman"/>
          <w:sz w:val="24"/>
          <w:szCs w:val="24"/>
        </w:rPr>
        <w:t xml:space="preserve"> no se tenga ninguna alternativa si no, la de solamente presumir que la persona que realiza estos avalúos rurales es idónea imparcial</w:t>
      </w:r>
      <w:r w:rsidR="001A691D" w:rsidRPr="001D41A5">
        <w:rPr>
          <w:rFonts w:ascii="Times New Roman" w:eastAsia="Times New Roman" w:hAnsi="Times New Roman" w:cs="Times New Roman"/>
          <w:sz w:val="24"/>
          <w:szCs w:val="24"/>
        </w:rPr>
        <w:t>, que conoces de esos saberes porque es un profesional aunque sea en otras áreas diferentes a la de avaluador, lo que conlleva a unos saberes propios en el ejercicio de avaluador rural.</w:t>
      </w:r>
    </w:p>
    <w:p w14:paraId="22425D10" w14:textId="77777777" w:rsidR="00FC1C00" w:rsidRPr="001D41A5" w:rsidRDefault="00FC1C00" w:rsidP="00025654">
      <w:pPr>
        <w:spacing w:before="69" w:line="480" w:lineRule="auto"/>
        <w:ind w:firstLine="720"/>
        <w:jc w:val="both"/>
        <w:rPr>
          <w:rFonts w:ascii="Times New Roman" w:eastAsia="Times New Roman" w:hAnsi="Times New Roman" w:cs="Times New Roman"/>
          <w:sz w:val="24"/>
          <w:szCs w:val="24"/>
        </w:rPr>
      </w:pPr>
    </w:p>
    <w:p w14:paraId="280DC908" w14:textId="77777777" w:rsidR="00E04377" w:rsidRPr="001D41A5" w:rsidRDefault="001A691D"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Es el legislador </w:t>
      </w:r>
      <w:r w:rsidR="00230091" w:rsidRPr="001D41A5">
        <w:rPr>
          <w:rFonts w:ascii="Times New Roman" w:eastAsia="Times New Roman" w:hAnsi="Times New Roman" w:cs="Times New Roman"/>
          <w:sz w:val="24"/>
          <w:szCs w:val="24"/>
        </w:rPr>
        <w:t>en su función principal debe ahondar en el tema con artículos concretos y diferenciadores de saberes que deberían tener los avaluadores en la categoría rural, donde se comisione a la ERA en crear un pensum con una intensidad horaria que de verdad estas personas que ejerzan esta actividad de avaluadores rurales se desarrolle bajo un conocimiento amplio</w:t>
      </w:r>
      <w:r w:rsidR="00E04377" w:rsidRPr="001D41A5">
        <w:rPr>
          <w:rFonts w:ascii="Times New Roman" w:eastAsia="Times New Roman" w:hAnsi="Times New Roman" w:cs="Times New Roman"/>
          <w:sz w:val="24"/>
          <w:szCs w:val="24"/>
        </w:rPr>
        <w:t xml:space="preserve"> en sus saberes; para así ser</w:t>
      </w:r>
      <w:r w:rsidR="00230091" w:rsidRPr="001D41A5">
        <w:rPr>
          <w:rFonts w:ascii="Times New Roman" w:eastAsia="Times New Roman" w:hAnsi="Times New Roman" w:cs="Times New Roman"/>
          <w:sz w:val="24"/>
          <w:szCs w:val="24"/>
        </w:rPr>
        <w:t xml:space="preserve"> objetivo</w:t>
      </w:r>
      <w:r w:rsidR="00E04377" w:rsidRPr="001D41A5">
        <w:rPr>
          <w:rFonts w:ascii="Times New Roman" w:eastAsia="Times New Roman" w:hAnsi="Times New Roman" w:cs="Times New Roman"/>
          <w:sz w:val="24"/>
          <w:szCs w:val="24"/>
        </w:rPr>
        <w:t>s e imparciales en sus informes de avalúos rurales.</w:t>
      </w:r>
    </w:p>
    <w:p w14:paraId="17C8B1AA" w14:textId="77777777" w:rsidR="00E04377" w:rsidRPr="001D41A5" w:rsidRDefault="00E04377" w:rsidP="00025654">
      <w:pPr>
        <w:spacing w:before="69" w:line="480" w:lineRule="auto"/>
        <w:ind w:firstLine="720"/>
        <w:jc w:val="both"/>
        <w:rPr>
          <w:rFonts w:ascii="Times New Roman" w:eastAsia="Times New Roman" w:hAnsi="Times New Roman" w:cs="Times New Roman"/>
          <w:sz w:val="24"/>
          <w:szCs w:val="24"/>
        </w:rPr>
      </w:pPr>
    </w:p>
    <w:p w14:paraId="1E6C9B73" w14:textId="5EEAED99" w:rsidR="00664856" w:rsidRPr="001D41A5" w:rsidRDefault="00230091"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 </w:t>
      </w:r>
      <w:r w:rsidR="001A691D" w:rsidRPr="001D41A5">
        <w:rPr>
          <w:rFonts w:ascii="Times New Roman" w:eastAsia="Times New Roman" w:hAnsi="Times New Roman" w:cs="Times New Roman"/>
          <w:sz w:val="24"/>
          <w:szCs w:val="24"/>
        </w:rPr>
        <w:t xml:space="preserve">  </w:t>
      </w:r>
      <w:r w:rsidR="00E04377" w:rsidRPr="001D41A5">
        <w:rPr>
          <w:rFonts w:ascii="Times New Roman" w:eastAsia="Times New Roman" w:hAnsi="Times New Roman" w:cs="Times New Roman"/>
          <w:sz w:val="24"/>
          <w:szCs w:val="24"/>
        </w:rPr>
        <w:t xml:space="preserve">Vale anotar que la ley 1673 de 2013 en su artículo 6 hace mención de unos </w:t>
      </w:r>
      <w:r w:rsidR="00664856" w:rsidRPr="001D41A5">
        <w:rPr>
          <w:rFonts w:ascii="Times New Roman" w:eastAsia="Times New Roman" w:hAnsi="Times New Roman" w:cs="Times New Roman"/>
          <w:sz w:val="24"/>
          <w:szCs w:val="24"/>
        </w:rPr>
        <w:t>saberes,</w:t>
      </w:r>
      <w:r w:rsidR="00E04377" w:rsidRPr="001D41A5">
        <w:rPr>
          <w:rFonts w:ascii="Times New Roman" w:eastAsia="Times New Roman" w:hAnsi="Times New Roman" w:cs="Times New Roman"/>
          <w:sz w:val="24"/>
          <w:szCs w:val="24"/>
        </w:rPr>
        <w:t xml:space="preserve"> pero de una forma general y no en específico para avaluadores rurales ya que estos además de esos saberes que menciona dicha norma se necesita de conocimientos muy concretos de otras asignaturas</w:t>
      </w:r>
      <w:r w:rsidR="00664856" w:rsidRPr="001D41A5">
        <w:rPr>
          <w:rFonts w:ascii="Times New Roman" w:eastAsia="Times New Roman" w:hAnsi="Times New Roman" w:cs="Times New Roman"/>
          <w:sz w:val="24"/>
          <w:szCs w:val="24"/>
        </w:rPr>
        <w:t>.</w:t>
      </w:r>
    </w:p>
    <w:p w14:paraId="75A9F240" w14:textId="77777777" w:rsidR="00FC1C00" w:rsidRPr="001D41A5" w:rsidRDefault="00FC1C00" w:rsidP="00025654">
      <w:pPr>
        <w:spacing w:before="69" w:line="480" w:lineRule="auto"/>
        <w:ind w:firstLine="720"/>
        <w:jc w:val="both"/>
        <w:rPr>
          <w:rFonts w:ascii="Times New Roman" w:eastAsia="Times New Roman" w:hAnsi="Times New Roman" w:cs="Times New Roman"/>
          <w:sz w:val="24"/>
          <w:szCs w:val="24"/>
        </w:rPr>
      </w:pPr>
    </w:p>
    <w:p w14:paraId="40172CE1" w14:textId="73C98DF7" w:rsidR="00304816" w:rsidRPr="001D41A5" w:rsidRDefault="00664856"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Y en aras de un desarrollo rural es el momento que gremios, además de los tipos de personas, naturales como jurídicas, tanto estatales como privadas, inversionistas, tanto nacionales como internacionales; empiece ya a pronunciarse, sobre la necesidad da la exigencia de un avaluador competente en su labor, con destreza, y seguridad en tener una información clara y precisa de los mercados rurales.</w:t>
      </w:r>
    </w:p>
    <w:p w14:paraId="0C17A5E8" w14:textId="02446218" w:rsidR="00CE291C" w:rsidRDefault="00CE291C" w:rsidP="001D41A5">
      <w:pPr>
        <w:spacing w:before="69" w:line="480" w:lineRule="auto"/>
        <w:jc w:val="both"/>
        <w:rPr>
          <w:rFonts w:ascii="Times New Roman" w:eastAsia="Times New Roman" w:hAnsi="Times New Roman" w:cs="Times New Roman"/>
          <w:sz w:val="24"/>
          <w:szCs w:val="24"/>
        </w:rPr>
      </w:pPr>
    </w:p>
    <w:p w14:paraId="1473D7A9" w14:textId="77777777" w:rsidR="00CE291C" w:rsidRPr="001D41A5" w:rsidRDefault="00CE291C" w:rsidP="001D41A5">
      <w:pPr>
        <w:spacing w:before="69" w:line="480" w:lineRule="auto"/>
        <w:jc w:val="both"/>
        <w:rPr>
          <w:rFonts w:ascii="Times New Roman" w:eastAsia="Times New Roman" w:hAnsi="Times New Roman" w:cs="Times New Roman"/>
          <w:sz w:val="24"/>
          <w:szCs w:val="24"/>
        </w:rPr>
      </w:pPr>
    </w:p>
    <w:p w14:paraId="0EADDFA9" w14:textId="6C29BBC0" w:rsidR="00244F7E" w:rsidRPr="001D41A5" w:rsidRDefault="00BF19B4" w:rsidP="00025654">
      <w:pPr>
        <w:spacing w:before="69" w:line="480" w:lineRule="auto"/>
        <w:ind w:left="360" w:firstLine="720"/>
        <w:jc w:val="both"/>
        <w:rPr>
          <w:rFonts w:ascii="Times New Roman" w:eastAsia="Times New Roman" w:hAnsi="Times New Roman" w:cs="Times New Roman"/>
          <w:sz w:val="24"/>
          <w:szCs w:val="24"/>
        </w:rPr>
      </w:pPr>
      <w:bookmarkStart w:id="42" w:name="_heading=h.2jxsxqh" w:colFirst="0" w:colLast="0"/>
      <w:bookmarkEnd w:id="42"/>
      <w:r w:rsidRPr="001D41A5">
        <w:rPr>
          <w:rFonts w:ascii="Times New Roman" w:eastAsia="Times New Roman" w:hAnsi="Times New Roman" w:cs="Times New Roman"/>
          <w:b/>
          <w:sz w:val="24"/>
          <w:szCs w:val="24"/>
        </w:rPr>
        <w:t>Tercer capítulo</w:t>
      </w:r>
    </w:p>
    <w:p w14:paraId="3F6A0FB7" w14:textId="77777777" w:rsidR="00244F7E" w:rsidRPr="001D41A5" w:rsidRDefault="00244F7E" w:rsidP="00025654">
      <w:pPr>
        <w:spacing w:before="69" w:line="480" w:lineRule="auto"/>
        <w:ind w:left="360" w:firstLine="720"/>
        <w:jc w:val="both"/>
        <w:rPr>
          <w:rFonts w:ascii="Times New Roman" w:eastAsia="Times New Roman" w:hAnsi="Times New Roman" w:cs="Times New Roman"/>
          <w:sz w:val="24"/>
          <w:szCs w:val="24"/>
        </w:rPr>
      </w:pPr>
    </w:p>
    <w:p w14:paraId="62E9B798" w14:textId="02E0253B"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En este último capítulo se decidió presentar a los lectores </w:t>
      </w:r>
      <w:bookmarkStart w:id="43" w:name="_Hlk149851044"/>
      <w:r w:rsidRPr="001D41A5">
        <w:rPr>
          <w:rFonts w:ascii="Times New Roman" w:eastAsia="Times New Roman" w:hAnsi="Times New Roman" w:cs="Times New Roman"/>
          <w:sz w:val="24"/>
          <w:szCs w:val="24"/>
        </w:rPr>
        <w:t xml:space="preserve">una </w:t>
      </w:r>
      <w:bookmarkStart w:id="44" w:name="_Hlk150342605"/>
      <w:r w:rsidRPr="001D41A5">
        <w:rPr>
          <w:rFonts w:ascii="Times New Roman" w:eastAsia="Times New Roman" w:hAnsi="Times New Roman" w:cs="Times New Roman"/>
          <w:sz w:val="24"/>
          <w:szCs w:val="24"/>
        </w:rPr>
        <w:t>descripción de cada tipo de avalúo de los que se habla en la doctrina colombiana</w:t>
      </w:r>
      <w:bookmarkEnd w:id="44"/>
      <w:r w:rsidRPr="001D41A5">
        <w:rPr>
          <w:rFonts w:ascii="Times New Roman" w:eastAsia="Times New Roman" w:hAnsi="Times New Roman" w:cs="Times New Roman"/>
          <w:sz w:val="24"/>
          <w:szCs w:val="24"/>
        </w:rPr>
        <w:t>, con el fin de que se tengan elementos para diferenciar uno de otro y de esta forma establecer en una diligencia qué tipo de informe debe aportarse.</w:t>
      </w:r>
      <w:r w:rsidR="004C7B3F" w:rsidRPr="001D41A5">
        <w:rPr>
          <w:rFonts w:ascii="Times New Roman" w:eastAsia="Times New Roman" w:hAnsi="Times New Roman" w:cs="Times New Roman"/>
          <w:sz w:val="24"/>
          <w:szCs w:val="24"/>
        </w:rPr>
        <w:t xml:space="preserve"> Además de </w:t>
      </w:r>
      <w:r w:rsidR="00290C9C" w:rsidRPr="001D41A5">
        <w:rPr>
          <w:rFonts w:ascii="Times New Roman" w:eastAsia="Times New Roman" w:hAnsi="Times New Roman" w:cs="Times New Roman"/>
          <w:sz w:val="24"/>
          <w:szCs w:val="24"/>
        </w:rPr>
        <w:t>mencionar algunos de los conocimientos específicos y técnicos que debería tener un avaluador de predios rurales.</w:t>
      </w:r>
    </w:p>
    <w:bookmarkEnd w:id="43"/>
    <w:p w14:paraId="3B353370"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030314C7"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Son clases de avalúos inmobiliarios los siguientes:</w:t>
      </w:r>
    </w:p>
    <w:p w14:paraId="2840B58A"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55813F28"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45" w:name="_heading=h.z337ya" w:colFirst="0" w:colLast="0"/>
      <w:bookmarkStart w:id="46" w:name="_Toc151281954"/>
      <w:bookmarkEnd w:id="45"/>
      <w:r w:rsidRPr="001D41A5">
        <w:rPr>
          <w:rFonts w:ascii="Times New Roman" w:eastAsia="Times New Roman" w:hAnsi="Times New Roman" w:cs="Times New Roman"/>
          <w:b/>
          <w:color w:val="000000"/>
          <w:sz w:val="24"/>
          <w:szCs w:val="24"/>
        </w:rPr>
        <w:t>Comercial</w:t>
      </w:r>
      <w:bookmarkEnd w:id="46"/>
    </w:p>
    <w:p w14:paraId="5A60D212" w14:textId="77777777" w:rsidR="00244F7E" w:rsidRPr="001D41A5" w:rsidRDefault="00244F7E" w:rsidP="00025654">
      <w:pPr>
        <w:spacing w:before="69" w:line="480" w:lineRule="auto"/>
        <w:ind w:left="360" w:firstLine="720"/>
        <w:jc w:val="both"/>
        <w:rPr>
          <w:rFonts w:ascii="Times New Roman" w:eastAsia="Times New Roman" w:hAnsi="Times New Roman" w:cs="Times New Roman"/>
          <w:sz w:val="24"/>
          <w:szCs w:val="24"/>
        </w:rPr>
      </w:pPr>
    </w:p>
    <w:p w14:paraId="62552255" w14:textId="1416C471" w:rsidR="00244F7E" w:rsidRPr="001D41A5" w:rsidRDefault="00BF19B4" w:rsidP="00864BC9">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Este tipo de avalúos, menciona la Resolución 620 (2008) son el origen de esta figura jurídica, pues a pesar de que la Resolución 620 (2008) dice que los métodos allí descritos son utilizados para determinar el precio de los inmuebles ordenados por la Ley 388, es decir los </w:t>
      </w:r>
      <w:r w:rsidRPr="001D41A5">
        <w:rPr>
          <w:rFonts w:ascii="Times New Roman" w:eastAsia="Times New Roman" w:hAnsi="Times New Roman" w:cs="Times New Roman"/>
          <w:sz w:val="24"/>
          <w:szCs w:val="24"/>
        </w:rPr>
        <w:lastRenderedPageBreak/>
        <w:t>avalúos administrativos, mismos que determinan es el valor comercial, e incluso son utilizados para emitir las diferentes clases de avalúos existentes.</w:t>
      </w:r>
    </w:p>
    <w:p w14:paraId="771309E4"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Múltiples leyes incluso con anterioridad a la Ley 9 (1989) hacen uso de esta clase de avalúos, jamás se incluyó una definición sobre lo que se debía entender por avalúo comercial. De una forma más aproximada como se mostró anteriormente el Decreto 1420 de 1998 con relación al valor comercial, expuso (1998):</w:t>
      </w:r>
    </w:p>
    <w:p w14:paraId="306F6910"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3D1E60C1" w14:textId="77777777" w:rsidR="00244F7E" w:rsidRPr="001D41A5" w:rsidRDefault="00BF19B4" w:rsidP="00025654">
      <w:pPr>
        <w:spacing w:before="69" w:line="480" w:lineRule="auto"/>
        <w:ind w:left="2880"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Se entiende por valor comercial de un inmueble el precio más favorable por el cual éste se transaría en un mercado donde el comprador y el vendedor actuarían libremente, con el conocimiento de las condiciones físicas y jurídicas que afectan el bien. (pág. 1)</w:t>
      </w:r>
    </w:p>
    <w:p w14:paraId="5172B310" w14:textId="77777777" w:rsidR="00244F7E" w:rsidRPr="001D41A5" w:rsidRDefault="00244F7E" w:rsidP="00025654">
      <w:pPr>
        <w:spacing w:before="69" w:line="480" w:lineRule="auto"/>
        <w:ind w:left="2160" w:firstLine="720"/>
        <w:jc w:val="both"/>
        <w:rPr>
          <w:rFonts w:ascii="Times New Roman" w:eastAsia="Times New Roman" w:hAnsi="Times New Roman" w:cs="Times New Roman"/>
          <w:sz w:val="24"/>
          <w:szCs w:val="24"/>
        </w:rPr>
      </w:pPr>
    </w:p>
    <w:p w14:paraId="384C5CAE"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 pesar de que no menciona lo que es el avalúo comercial específicamente, si define lo que busca el valor comercial, formando así un sustento y precedente legal de lo que es esta clase de avalúo.</w:t>
      </w:r>
    </w:p>
    <w:p w14:paraId="648C6051"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7857ECD9"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Fueron los mismos propietarios y comerciantes los que empezaron a establecer los elementos que hacían de un inmueble un bien más o menos valioso; fue con el pasar del tiempo que las instituciones financieras empezaron a ver en este tipo de dictámenes una herramienta para garantizar las distintas actividades que realizan hasta el día de hoy, es gracias a esto que al avaluó comercial se le conoce como el que determina el valor de un inmueble en el mercado actual, ya que utiliza la ley de la oferta y la demanda, como consecuencia las regulaciones internas de diferentes entidades privadas o públicas que los solicitan estiman como fecha de </w:t>
      </w:r>
      <w:r w:rsidRPr="001D41A5">
        <w:rPr>
          <w:rFonts w:ascii="Times New Roman" w:eastAsia="Times New Roman" w:hAnsi="Times New Roman" w:cs="Times New Roman"/>
          <w:sz w:val="24"/>
          <w:szCs w:val="24"/>
        </w:rPr>
        <w:lastRenderedPageBreak/>
        <w:t>vigencia un periodo que no supere los doce meses, pues se entiende que después de un año las condiciones que afectan el precio pueden cambiar generando una depreciación o crecimiento en el valor.</w:t>
      </w:r>
    </w:p>
    <w:p w14:paraId="60263079"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341E84AC"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Este tipo de avalúos (1998) pueden ser realizados por cualquier persona natural o agremiación especializada que cuente con su registro vigente y además tenga los conocimientos respectivos, no hay restricción en cuanto a esta parte, ni tampoco lo hay para quienes los solicitan ya que puede ser cualquier tercero, que incluso carezca de algún tipo de vinculación o interés con el predio.</w:t>
      </w:r>
    </w:p>
    <w:p w14:paraId="11D497D9"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23D21FBF"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47" w:name="_heading=h.3j2qqm3" w:colFirst="0" w:colLast="0"/>
      <w:bookmarkStart w:id="48" w:name="_Toc151281955"/>
      <w:bookmarkEnd w:id="47"/>
      <w:r w:rsidRPr="001D41A5">
        <w:rPr>
          <w:rFonts w:ascii="Times New Roman" w:eastAsia="Times New Roman" w:hAnsi="Times New Roman" w:cs="Times New Roman"/>
          <w:b/>
          <w:color w:val="000000"/>
          <w:sz w:val="24"/>
          <w:szCs w:val="24"/>
        </w:rPr>
        <w:t>Catastral</w:t>
      </w:r>
      <w:bookmarkEnd w:id="48"/>
    </w:p>
    <w:p w14:paraId="4F18B9E7" w14:textId="77777777" w:rsidR="00244F7E" w:rsidRPr="001D41A5" w:rsidRDefault="00244F7E" w:rsidP="00025654">
      <w:pPr>
        <w:spacing w:before="69" w:line="480" w:lineRule="auto"/>
        <w:ind w:firstLine="720"/>
        <w:jc w:val="both"/>
        <w:rPr>
          <w:rFonts w:ascii="Times New Roman" w:eastAsia="Times New Roman" w:hAnsi="Times New Roman" w:cs="Times New Roman"/>
          <w:b/>
          <w:sz w:val="24"/>
          <w:szCs w:val="24"/>
        </w:rPr>
      </w:pPr>
    </w:p>
    <w:p w14:paraId="02A0B2C1"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Mencionan Cubillos y Patiño (2021) que es el que refleja el valor de los inmuebles, dicha apreciación la realizan basados en diferentes análisis investigativos sobre datos estadísticas del mercado; aparte de esto, este tipo de avalúo toma como base los dictámenes que se han hecho con anterioridad del bien, a esto se le conoce como actualización catastral, herramienta que mantiene reajustada la información de cada predio en sus aspectos físicos, jurídicos de afectación por obras públicas y demás variantes que pueden generar la depreciación o alza en su valor.</w:t>
      </w:r>
    </w:p>
    <w:p w14:paraId="69F655CD"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2A468274"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El avalúo catastral (2021) comparte características similares a otras clases como el análisis del terreno, la construcción e incluso la utilización de metodologías establecidas por el IGAC, pero se diferencia de otros en que es realizado por entidades públicas, muestra un </w:t>
      </w:r>
      <w:r w:rsidRPr="001D41A5">
        <w:rPr>
          <w:rFonts w:ascii="Times New Roman" w:eastAsia="Times New Roman" w:hAnsi="Times New Roman" w:cs="Times New Roman"/>
          <w:sz w:val="24"/>
          <w:szCs w:val="24"/>
        </w:rPr>
        <w:lastRenderedPageBreak/>
        <w:t>porcentaje del verdadero valor comercial y principalmente es una base que sirve para determinar el valor del impuesto predial.</w:t>
      </w:r>
    </w:p>
    <w:p w14:paraId="6E07529C"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29F92CE6"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 impuesto predial, continúan compartiendo Cubillos y Patiño (2021) es un cobro que se hace a favor de la entidad territorial en donde se encuentra ubicado el inmueble, y es una obligación que está en cabeza del propietario; a diferencia del catastral que no tiene ningún tope para establecer el incremento del bien el impuesto, el mismo no puede exceder el doble del monto liquidado por el mismo concepto en el año anterior, a excepción de los siguientes casos.</w:t>
      </w:r>
    </w:p>
    <w:p w14:paraId="573C41B4"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3DB1818A"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Lo anterior de conformidad con la Ley 44, que fue la norma que creo el impuesto predial unificado, así (1990):</w:t>
      </w:r>
    </w:p>
    <w:p w14:paraId="5DC35B3B"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2A8FC6F1" w14:textId="77777777" w:rsidR="00244F7E" w:rsidRPr="001D41A5" w:rsidRDefault="00BF19B4" w:rsidP="00025654">
      <w:pPr>
        <w:numPr>
          <w:ilvl w:val="0"/>
          <w:numId w:val="2"/>
        </w:numPr>
        <w:pBdr>
          <w:top w:val="nil"/>
          <w:left w:val="nil"/>
          <w:bottom w:val="nil"/>
          <w:right w:val="nil"/>
          <w:between w:val="nil"/>
        </w:pBd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Cuando en un lote no construido se realice algún tipo de edificación.</w:t>
      </w:r>
    </w:p>
    <w:p w14:paraId="68CFE397" w14:textId="77777777" w:rsidR="00244F7E" w:rsidRPr="001D41A5" w:rsidRDefault="00BF19B4" w:rsidP="00025654">
      <w:pPr>
        <w:numPr>
          <w:ilvl w:val="0"/>
          <w:numId w:val="2"/>
        </w:numPr>
        <w:pBdr>
          <w:top w:val="nil"/>
          <w:left w:val="nil"/>
          <w:bottom w:val="nil"/>
          <w:right w:val="nil"/>
          <w:between w:val="nil"/>
        </w:pBd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Inmuebles calificados como urbanizados, no urbanizados y no edificados.</w:t>
      </w:r>
    </w:p>
    <w:p w14:paraId="0A5B021B" w14:textId="77777777" w:rsidR="00244F7E" w:rsidRPr="001D41A5" w:rsidRDefault="00BF19B4" w:rsidP="00025654">
      <w:pPr>
        <w:numPr>
          <w:ilvl w:val="0"/>
          <w:numId w:val="2"/>
        </w:numPr>
        <w:pBdr>
          <w:top w:val="nil"/>
          <w:left w:val="nil"/>
          <w:bottom w:val="nil"/>
          <w:right w:val="nil"/>
          <w:between w:val="nil"/>
        </w:pBdr>
        <w:spacing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Cuando en Catastro es incorporado por primera vez el inmueble. (pág. 1)</w:t>
      </w:r>
    </w:p>
    <w:p w14:paraId="606C8F03" w14:textId="77777777" w:rsidR="00244F7E" w:rsidRPr="001D41A5" w:rsidRDefault="00244F7E" w:rsidP="00025654">
      <w:pPr>
        <w:pBdr>
          <w:top w:val="nil"/>
          <w:left w:val="nil"/>
          <w:bottom w:val="nil"/>
          <w:right w:val="nil"/>
          <w:between w:val="nil"/>
        </w:pBdr>
        <w:spacing w:line="480" w:lineRule="auto"/>
        <w:ind w:left="2880" w:firstLine="720"/>
        <w:jc w:val="both"/>
        <w:rPr>
          <w:rFonts w:ascii="Times New Roman" w:eastAsia="Times New Roman" w:hAnsi="Times New Roman" w:cs="Times New Roman"/>
          <w:sz w:val="24"/>
          <w:szCs w:val="24"/>
        </w:rPr>
      </w:pPr>
    </w:p>
    <w:p w14:paraId="3FB751B0"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razón (2021) de por qué el avalúo catastral comprende sólo una porción de lo arrojado en un avalúo comercial, es porque así lo determinó la Ley 223 de 1995, por medio de la cual se creó una expresión normativa relacionada al tema tributario.</w:t>
      </w:r>
    </w:p>
    <w:p w14:paraId="690C43E7" w14:textId="77777777" w:rsidR="00864BC9" w:rsidRPr="001D41A5" w:rsidRDefault="00864BC9" w:rsidP="00B44597">
      <w:pPr>
        <w:spacing w:before="69" w:line="480" w:lineRule="auto"/>
        <w:jc w:val="both"/>
        <w:rPr>
          <w:rFonts w:ascii="Times New Roman" w:eastAsia="Times New Roman" w:hAnsi="Times New Roman" w:cs="Times New Roman"/>
          <w:sz w:val="24"/>
          <w:szCs w:val="24"/>
        </w:rPr>
      </w:pPr>
    </w:p>
    <w:p w14:paraId="16AA7CD5"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49" w:name="_heading=h.1y810tw" w:colFirst="0" w:colLast="0"/>
      <w:bookmarkStart w:id="50" w:name="_Toc151281956"/>
      <w:bookmarkEnd w:id="49"/>
      <w:r w:rsidRPr="001D41A5">
        <w:rPr>
          <w:rFonts w:ascii="Times New Roman" w:eastAsia="Times New Roman" w:hAnsi="Times New Roman" w:cs="Times New Roman"/>
          <w:b/>
          <w:color w:val="000000"/>
          <w:sz w:val="24"/>
          <w:szCs w:val="24"/>
        </w:rPr>
        <w:lastRenderedPageBreak/>
        <w:t>Administrativo</w:t>
      </w:r>
      <w:bookmarkEnd w:id="50"/>
    </w:p>
    <w:p w14:paraId="2583AB75"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31F1B0F3" w14:textId="3B2536EE" w:rsidR="00244F7E" w:rsidRPr="001D41A5" w:rsidRDefault="00BF19B4" w:rsidP="00CE291C">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 la creación de los procesos de enajenación administrativa y judicial derivados de la Ley 9 de 1989 y Ley 388 de 1997, puede decirse que nace el avalúo administrativo, y a pesar de que no se encuentre taxativamente definido, las diferentes expresiones normativas, en especial la Ley 9 (1989), resaltan ciertos elementos especiales y diferenciales de otro tipo de avalúo.</w:t>
      </w:r>
    </w:p>
    <w:p w14:paraId="201E2B80"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En primer lugar, son los ordenados por las entidades oficiales y entidades territoriales. En principio también son los que realizan y emiten exclusivamente las entidades públicas en especial el IGAC, aunque también son aquellos que se emiten por cualquier otro particular a solicitud de las entidades públicas que frecuentemente son utilizados para adelantar actuaciones administrativas.</w:t>
      </w:r>
    </w:p>
    <w:p w14:paraId="4077A371"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48C60D01"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Ley 9 (1989) en su artículo 27 mencionó que este tipo de avalúos debían realizarse principalmente por el IGAC o por la entidad que cumpla sus funciones, definición complementada mediante el Decreto 2150 que en su artículo también 27 señaló (1995):</w:t>
      </w:r>
    </w:p>
    <w:p w14:paraId="70EDA8DE"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68742DC1" w14:textId="77777777" w:rsidR="00244F7E" w:rsidRPr="001D41A5" w:rsidRDefault="00BF19B4" w:rsidP="00025654">
      <w:pPr>
        <w:spacing w:before="69" w:line="480" w:lineRule="auto"/>
        <w:ind w:left="2880"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b/>
          <w:sz w:val="24"/>
          <w:szCs w:val="24"/>
        </w:rPr>
        <w:t>Artículo 27:</w:t>
      </w:r>
      <w:r w:rsidRPr="001D41A5">
        <w:rPr>
          <w:rFonts w:ascii="Times New Roman" w:eastAsia="Times New Roman" w:hAnsi="Times New Roman" w:cs="Times New Roman"/>
          <w:sz w:val="24"/>
          <w:szCs w:val="24"/>
        </w:rPr>
        <w:t xml:space="preserve"> Avalúo de bienes inmuebles. Los avalúos de bienes inmuebles que deban realizar las entidades públicas o que se realicen en actuaciones administrativas, podrán ser adelantados por el Instituto Geográfico Agustín Codazzi o por cualquier persona natural o jurídica de carácter privado, que se encuentre registrada y autorizada por la Lonja de Propiedad Raíz del lugar donde esté ubicado el bien para adelantar dichos </w:t>
      </w:r>
      <w:r w:rsidRPr="001D41A5">
        <w:rPr>
          <w:rFonts w:ascii="Times New Roman" w:eastAsia="Times New Roman" w:hAnsi="Times New Roman" w:cs="Times New Roman"/>
          <w:sz w:val="24"/>
          <w:szCs w:val="24"/>
        </w:rPr>
        <w:lastRenderedPageBreak/>
        <w:t>avalúos. Parágrafo. - Si la entidad pública escoge la opción privada, corresponderá a la Lonja determinar, en cada caso, la persona natural o jurídica que adelante el avalúo de bienes inmuebles. (art. 27)</w:t>
      </w:r>
    </w:p>
    <w:p w14:paraId="4C0C2E89" w14:textId="77777777" w:rsidR="00244F7E" w:rsidRPr="001D41A5" w:rsidRDefault="00244F7E" w:rsidP="00025654">
      <w:pPr>
        <w:spacing w:before="69" w:line="480" w:lineRule="auto"/>
        <w:ind w:left="2160" w:firstLine="720"/>
        <w:jc w:val="both"/>
        <w:rPr>
          <w:rFonts w:ascii="Times New Roman" w:eastAsia="Times New Roman" w:hAnsi="Times New Roman" w:cs="Times New Roman"/>
          <w:sz w:val="24"/>
          <w:szCs w:val="24"/>
        </w:rPr>
      </w:pPr>
    </w:p>
    <w:p w14:paraId="0A622D6B"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Esta disposición (1995) amplía la capacidad para emitir este tipo de avalúos tanto a personas jurídicas como naturales, pero con la condición de que esa persona se encuentre registrada y autorizada por la Lonja de donde está ubicado el inmueble a examinar, situación que fue demanda porque se consideró que vulneraba los derechos a la igualdad, libre ejercicio de la profesión y libre asociación.</w:t>
      </w:r>
    </w:p>
    <w:p w14:paraId="737507B5"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6BB5A08A"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La Corte Constitucional mediante Sentencia C-492 (1996), declaró exequible la disposición argumentando que la norma lo que pretendía era darle oportunidad a entidades diferentes al IGAC para emitir estos avalúos de forma más rápida, permitiendo a si el cumplimiento de los principios de eficiencia, celeridad y economía que deben tener las entidades públicas al momento de actuar, también se buscaba con esta norma agilizar los trámites relacionados con procesos expropiatorios, pero en ultimas es la entidad la que decide si es el IGAC o un privado el que emite el dictamen.</w:t>
      </w:r>
    </w:p>
    <w:p w14:paraId="31DCBCA7"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7C3E2982"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51" w:name="_heading=h.4i7ojhp" w:colFirst="0" w:colLast="0"/>
      <w:bookmarkStart w:id="52" w:name="_Toc151281957"/>
      <w:bookmarkEnd w:id="51"/>
      <w:r w:rsidRPr="001D41A5">
        <w:rPr>
          <w:rFonts w:ascii="Times New Roman" w:eastAsia="Times New Roman" w:hAnsi="Times New Roman" w:cs="Times New Roman"/>
          <w:b/>
          <w:color w:val="000000"/>
          <w:sz w:val="24"/>
          <w:szCs w:val="24"/>
        </w:rPr>
        <w:t>Judicial</w:t>
      </w:r>
      <w:bookmarkEnd w:id="52"/>
    </w:p>
    <w:p w14:paraId="77CB4E12"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4D7EED78"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Este tipo de avalúos serían entonces los que aparecen dentro de un proceso judicial, y se dan cuando el Juez ordena la venta de un bien cuando este ha servido como garantía de pago, generalmente lo que se quiere en estos procesos es que con la venta del inmueble sea cancele </w:t>
      </w:r>
      <w:r w:rsidRPr="001D41A5">
        <w:rPr>
          <w:rFonts w:ascii="Times New Roman" w:eastAsia="Times New Roman" w:hAnsi="Times New Roman" w:cs="Times New Roman"/>
          <w:sz w:val="24"/>
          <w:szCs w:val="24"/>
        </w:rPr>
        <w:lastRenderedPageBreak/>
        <w:t>la deuda, el remate que se efectúa sobre inmuebles está relacionado a diferentes tipos de procesos judiciales que no muchas veces tienen que ver con la relación del deudor con el acreedor.</w:t>
      </w:r>
    </w:p>
    <w:p w14:paraId="1968E1D9"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67ACFFB9"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En el avalúo judicial se evidencia una falta de realismo y certeza sobre el correcto valor del inmueble objeto de remate, pues el mecanismo que utiliza el juzgado para determinar el valor de los bienes no contiene los elementos básicos que debe tener un dictamen valuatorio e incluso ni siquiera es realizado por avaluador especializado, el procedimiento que sigue el Juez se limita simplemente a revisar el valor del avalúo catastral al cual le incrementa un cincuenta por ciento, esto con el fin de aproximar el valor catastral al comercial como se mostró el valor catastral es una parte del comercial, pero este ejercicio aunque practico no llega ni siquiera a un acercamiento aproximado sobre el verdadero valor.</w:t>
      </w:r>
    </w:p>
    <w:p w14:paraId="72DB3764"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5EE8F9B4"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Ese procedimiento fue establecido por el artículo 52 de Ley 794 (2003), y aunque esta ley fue derogada por el Código General del Proceso (2012), se sigue manteniendo vigente esa forma de determinar el valor del bien.</w:t>
      </w:r>
    </w:p>
    <w:p w14:paraId="2AC04A54"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2DF04D7C"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Claro está que también se establece (2012) un procedimiento el cual permite que las partes puedan por cuenta propia aportar un avaluó comercial que sea emitido por un verdadero avaluador, en estos casos en donde como las partes ya se encuentran enfrentadas en un litigio no confían en los avalúos aportados , ni en el emitido por el Juez razón, acuden a los auxiliares de la justicia quienes se les considera más imparciales toda vez que su función se limita a emitir el dictamen incluso sin conocer las partes o el tipo de proceso.</w:t>
      </w:r>
    </w:p>
    <w:p w14:paraId="76D96722"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0D56826F"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Los dictámenes emitidos por auxiliares de la justicia son controlados por el Consejo Superior de la Judicatura y considerados igualmente como avalúos judiciales pues quienes los emiten actúan de conformidad con el Acuerdo número 1518 (2002), en cumplimiento de una orden emitida por el Juez, cuando cumplidos los plazos para aportar el avalúo y las partes interesadas no lo hubieren hecho o solicitado el apoyo del auxiliar de la justicia, la determinación del valor será la que diga el Juez, aunque sobre esa decisión pueden presentarse los recursos que tengan cabida.</w:t>
      </w:r>
    </w:p>
    <w:p w14:paraId="4AD69233"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24B37902" w14:textId="77777777" w:rsidR="00244F7E" w:rsidRPr="001D41A5" w:rsidRDefault="00BF19B4" w:rsidP="00025654">
      <w:pPr>
        <w:pStyle w:val="Ttulo2"/>
        <w:spacing w:line="480" w:lineRule="auto"/>
        <w:ind w:firstLine="720"/>
        <w:rPr>
          <w:rFonts w:ascii="Times New Roman" w:eastAsia="Times New Roman" w:hAnsi="Times New Roman" w:cs="Times New Roman"/>
          <w:b/>
          <w:color w:val="000000"/>
          <w:sz w:val="24"/>
          <w:szCs w:val="24"/>
        </w:rPr>
      </w:pPr>
      <w:bookmarkStart w:id="53" w:name="_heading=h.2xcytpi" w:colFirst="0" w:colLast="0"/>
      <w:bookmarkStart w:id="54" w:name="_Toc151281958"/>
      <w:bookmarkEnd w:id="53"/>
      <w:r w:rsidRPr="001D41A5">
        <w:rPr>
          <w:rFonts w:ascii="Times New Roman" w:eastAsia="Times New Roman" w:hAnsi="Times New Roman" w:cs="Times New Roman"/>
          <w:b/>
          <w:color w:val="000000"/>
          <w:sz w:val="24"/>
          <w:szCs w:val="24"/>
        </w:rPr>
        <w:t>Auto avalúo</w:t>
      </w:r>
      <w:bookmarkEnd w:id="54"/>
    </w:p>
    <w:p w14:paraId="14360A56"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78373917"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En la Ley 44 (1990), vista anteriormente en el tema del avalúo catastral, sus artículos 13, 14 y 15 se refieren al auto avalúo como una complementación al avalúo catastral, el cual sirve para determinar el valor que debe cancelar un predio por concepto de impuesto predial; al momento de implementar este pago habían muchos municipios en donde las entidades territoriales no tenían ni siquiera los funcionarios para hacer control sobre los predios que existían, razón por la cual se creó la figura del auto avalúo como una alternativa para que los propietarios de inmuebles en los municipios pudieran realizar este pago.</w:t>
      </w:r>
    </w:p>
    <w:p w14:paraId="79961BDE"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43B98827" w14:textId="0DB65BEF" w:rsidR="00244F7E" w:rsidRPr="001D41A5" w:rsidRDefault="00BF19B4" w:rsidP="00864BC9">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Se determinó (1990) un procedimiento en el cual anualmente los propietarios debían cancelar a la entidad territorial el impuesto predial, para los bienes ubicados en área urbana sería el valor arrojado de multiplicar el número de metros cuadrados de área y de construcción del bien por el precio del metro cuadro que fije la autoridad catastral en razón de los sectores y estratos del municipio; para el caso de los predios rurales el cálculo se hace con el precio mínimo por hectárea o las unidades de medida establecida por el IGAC, teniendo en cuenta el tipo de siembra y producción agrícola.</w:t>
      </w:r>
    </w:p>
    <w:p w14:paraId="3FA92386"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Este método (1990) consideró que el auto avalúo no podía ser presentado con un valor inferior al aportado en el año anterior, desconociendo que el valor de la tierra no siempre incrementa, sino que igualmente se deprecia. Para la determinación del Impuesto Predial se dijo que el valor correspondía al de incrementar en un 25% el valor arrojado por el auto avalúo.</w:t>
      </w:r>
    </w:p>
    <w:p w14:paraId="56C49FF9"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5039FA8F" w14:textId="49F9750D"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Adicional a este concepto, al auto avalúo sería entonces el precio que estipula un particular sin conocimientos específicos basado en consideraciones personales sobre un bien con el fin de iniciar una negociación, esta valoración no tiene en cuenta aspectos de oferta y demanda.</w:t>
      </w:r>
    </w:p>
    <w:p w14:paraId="020C4938" w14:textId="77777777" w:rsidR="00474B5D" w:rsidRPr="001D41A5" w:rsidRDefault="00474B5D" w:rsidP="00025654">
      <w:pPr>
        <w:spacing w:before="69" w:line="480" w:lineRule="auto"/>
        <w:ind w:firstLine="720"/>
        <w:jc w:val="both"/>
        <w:rPr>
          <w:rFonts w:ascii="Times New Roman" w:eastAsia="Times New Roman" w:hAnsi="Times New Roman" w:cs="Times New Roman"/>
          <w:sz w:val="24"/>
          <w:szCs w:val="24"/>
        </w:rPr>
      </w:pPr>
    </w:p>
    <w:p w14:paraId="052FB8CB" w14:textId="38C5D312" w:rsidR="00103AE4" w:rsidRPr="001D41A5" w:rsidRDefault="00EC26DF"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Ahora vamos a </w:t>
      </w:r>
      <w:r w:rsidR="00103AE4" w:rsidRPr="001D41A5">
        <w:rPr>
          <w:rFonts w:ascii="Times New Roman" w:eastAsia="Times New Roman" w:hAnsi="Times New Roman" w:cs="Times New Roman"/>
          <w:sz w:val="24"/>
          <w:szCs w:val="24"/>
        </w:rPr>
        <w:t>mencionar algunos de los conocimientos específicos y técnicos que debería tener un avaluador de predios rurales.</w:t>
      </w:r>
    </w:p>
    <w:p w14:paraId="183F284B" w14:textId="77777777" w:rsidR="00474B5D" w:rsidRPr="001D41A5" w:rsidRDefault="00474B5D" w:rsidP="00025654">
      <w:pPr>
        <w:spacing w:before="69" w:line="480" w:lineRule="auto"/>
        <w:ind w:firstLine="720"/>
        <w:jc w:val="both"/>
        <w:rPr>
          <w:rFonts w:ascii="Times New Roman" w:eastAsia="Times New Roman" w:hAnsi="Times New Roman" w:cs="Times New Roman"/>
          <w:sz w:val="24"/>
          <w:szCs w:val="24"/>
        </w:rPr>
      </w:pPr>
    </w:p>
    <w:p w14:paraId="673F8BE4" w14:textId="02920A85" w:rsidR="008B0F5D" w:rsidRPr="001D41A5" w:rsidRDefault="008B0F5D"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Para </w:t>
      </w:r>
      <w:r w:rsidR="00150718" w:rsidRPr="001D41A5">
        <w:rPr>
          <w:rFonts w:ascii="Times New Roman" w:eastAsia="Times New Roman" w:hAnsi="Times New Roman" w:cs="Times New Roman"/>
          <w:sz w:val="24"/>
          <w:szCs w:val="24"/>
        </w:rPr>
        <w:t>llevar a cabo</w:t>
      </w:r>
      <w:r w:rsidRPr="001D41A5">
        <w:rPr>
          <w:rFonts w:ascii="Times New Roman" w:eastAsia="Times New Roman" w:hAnsi="Times New Roman" w:cs="Times New Roman"/>
          <w:sz w:val="24"/>
          <w:szCs w:val="24"/>
        </w:rPr>
        <w:t xml:space="preserve"> una explicación concreta se debe empezar por hacer mención de los métodos valuatorios</w:t>
      </w:r>
      <w:r w:rsidR="00DB3FD0" w:rsidRPr="001D41A5">
        <w:rPr>
          <w:rFonts w:ascii="Times New Roman" w:eastAsia="Times New Roman" w:hAnsi="Times New Roman" w:cs="Times New Roman"/>
          <w:sz w:val="24"/>
          <w:szCs w:val="24"/>
        </w:rPr>
        <w:t xml:space="preserve">: </w:t>
      </w:r>
      <w:r w:rsidRPr="001D41A5">
        <w:rPr>
          <w:rFonts w:ascii="Times New Roman" w:eastAsia="Times New Roman" w:hAnsi="Times New Roman" w:cs="Times New Roman"/>
          <w:sz w:val="24"/>
          <w:szCs w:val="24"/>
        </w:rPr>
        <w:t>método comparativo de mercado</w:t>
      </w:r>
      <w:r w:rsidR="00DB3FD0" w:rsidRPr="001D41A5">
        <w:rPr>
          <w:rFonts w:ascii="Times New Roman" w:eastAsia="Times New Roman" w:hAnsi="Times New Roman" w:cs="Times New Roman"/>
          <w:sz w:val="24"/>
          <w:szCs w:val="24"/>
        </w:rPr>
        <w:t>;</w:t>
      </w:r>
      <w:r w:rsidRPr="001D41A5">
        <w:rPr>
          <w:rFonts w:ascii="Times New Roman" w:eastAsia="Times New Roman" w:hAnsi="Times New Roman" w:cs="Times New Roman"/>
          <w:sz w:val="24"/>
          <w:szCs w:val="24"/>
        </w:rPr>
        <w:t xml:space="preserve"> método de capitalización de rentas</w:t>
      </w:r>
      <w:r w:rsidR="00DB3FD0" w:rsidRPr="001D41A5">
        <w:rPr>
          <w:rFonts w:ascii="Times New Roman" w:eastAsia="Times New Roman" w:hAnsi="Times New Roman" w:cs="Times New Roman"/>
          <w:sz w:val="24"/>
          <w:szCs w:val="24"/>
        </w:rPr>
        <w:t>; y</w:t>
      </w:r>
      <w:r w:rsidRPr="001D41A5">
        <w:rPr>
          <w:rFonts w:ascii="Times New Roman" w:eastAsia="Times New Roman" w:hAnsi="Times New Roman" w:cs="Times New Roman"/>
          <w:sz w:val="24"/>
          <w:szCs w:val="24"/>
        </w:rPr>
        <w:t xml:space="preserve"> método del costo de reposición y método residual</w:t>
      </w:r>
      <w:r w:rsidR="00DB3FD0" w:rsidRPr="001D41A5">
        <w:rPr>
          <w:rFonts w:ascii="Times New Roman" w:eastAsia="Times New Roman" w:hAnsi="Times New Roman" w:cs="Times New Roman"/>
          <w:sz w:val="24"/>
          <w:szCs w:val="24"/>
        </w:rPr>
        <w:t>.</w:t>
      </w:r>
      <w:r w:rsidRPr="001D41A5">
        <w:rPr>
          <w:rFonts w:ascii="Times New Roman" w:eastAsia="Times New Roman" w:hAnsi="Times New Roman" w:cs="Times New Roman"/>
          <w:sz w:val="24"/>
          <w:szCs w:val="24"/>
        </w:rPr>
        <w:t xml:space="preserve"> </w:t>
      </w:r>
      <w:r w:rsidR="00DB3FD0" w:rsidRPr="001D41A5">
        <w:rPr>
          <w:rFonts w:ascii="Times New Roman" w:eastAsia="Times New Roman" w:hAnsi="Times New Roman" w:cs="Times New Roman"/>
          <w:sz w:val="24"/>
          <w:szCs w:val="24"/>
        </w:rPr>
        <w:t>D</w:t>
      </w:r>
      <w:r w:rsidRPr="001D41A5">
        <w:rPr>
          <w:rFonts w:ascii="Times New Roman" w:eastAsia="Times New Roman" w:hAnsi="Times New Roman" w:cs="Times New Roman"/>
          <w:sz w:val="24"/>
          <w:szCs w:val="24"/>
        </w:rPr>
        <w:t>ados por el IGAC</w:t>
      </w:r>
      <w:r w:rsidR="00DB3FD0" w:rsidRPr="001D41A5">
        <w:rPr>
          <w:rFonts w:ascii="Times New Roman" w:eastAsia="Times New Roman" w:hAnsi="Times New Roman" w:cs="Times New Roman"/>
          <w:sz w:val="24"/>
          <w:szCs w:val="24"/>
        </w:rPr>
        <w:t xml:space="preserve"> por medio</w:t>
      </w:r>
      <w:r w:rsidRPr="001D41A5">
        <w:rPr>
          <w:rFonts w:ascii="Times New Roman" w:eastAsia="Times New Roman" w:hAnsi="Times New Roman" w:cs="Times New Roman"/>
          <w:sz w:val="24"/>
          <w:szCs w:val="24"/>
        </w:rPr>
        <w:t xml:space="preserve"> en la </w:t>
      </w:r>
      <w:r w:rsidR="00DB3FD0" w:rsidRPr="001D41A5">
        <w:rPr>
          <w:rFonts w:ascii="Times New Roman" w:eastAsia="Times New Roman" w:hAnsi="Times New Roman" w:cs="Times New Roman"/>
          <w:sz w:val="24"/>
          <w:szCs w:val="24"/>
        </w:rPr>
        <w:t>R</w:t>
      </w:r>
      <w:r w:rsidRPr="001D41A5">
        <w:rPr>
          <w:rFonts w:ascii="Times New Roman" w:eastAsia="Times New Roman" w:hAnsi="Times New Roman" w:cs="Times New Roman"/>
          <w:sz w:val="24"/>
          <w:szCs w:val="24"/>
        </w:rPr>
        <w:t>esolución 620 de 2008 donde direcciona a los avaluadores a la hora de hallar el valor comercial de un bien inmueble entre ellos bienes inmuebles rurales</w:t>
      </w:r>
      <w:r w:rsidR="00DB3FD0" w:rsidRPr="001D41A5">
        <w:rPr>
          <w:rFonts w:ascii="Times New Roman" w:eastAsia="Times New Roman" w:hAnsi="Times New Roman" w:cs="Times New Roman"/>
          <w:sz w:val="24"/>
          <w:szCs w:val="24"/>
        </w:rPr>
        <w:t xml:space="preserve"> (IGAC, 2008)</w:t>
      </w:r>
      <w:r w:rsidRPr="001D41A5">
        <w:rPr>
          <w:rFonts w:ascii="Times New Roman" w:eastAsia="Times New Roman" w:hAnsi="Times New Roman" w:cs="Times New Roman"/>
          <w:sz w:val="24"/>
          <w:szCs w:val="24"/>
        </w:rPr>
        <w:t>.</w:t>
      </w:r>
    </w:p>
    <w:p w14:paraId="393CC548" w14:textId="77777777" w:rsidR="00474B5D" w:rsidRPr="001D41A5" w:rsidRDefault="00474B5D" w:rsidP="00025654">
      <w:pPr>
        <w:spacing w:before="69" w:line="480" w:lineRule="auto"/>
        <w:ind w:firstLine="720"/>
        <w:jc w:val="both"/>
        <w:rPr>
          <w:rFonts w:ascii="Times New Roman" w:eastAsia="Times New Roman" w:hAnsi="Times New Roman" w:cs="Times New Roman"/>
          <w:sz w:val="24"/>
          <w:szCs w:val="24"/>
        </w:rPr>
      </w:pPr>
    </w:p>
    <w:p w14:paraId="3C963E28" w14:textId="543D878B" w:rsidR="00474B5D" w:rsidRDefault="0023592F"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w:t>
      </w:r>
      <w:r w:rsidR="008B0F5D" w:rsidRPr="001D41A5">
        <w:rPr>
          <w:rFonts w:ascii="Times New Roman" w:eastAsia="Times New Roman" w:hAnsi="Times New Roman" w:cs="Times New Roman"/>
          <w:sz w:val="24"/>
          <w:szCs w:val="24"/>
        </w:rPr>
        <w:t xml:space="preserve"> método comparativo de mercado y</w:t>
      </w:r>
      <w:r w:rsidRPr="001D41A5">
        <w:rPr>
          <w:rFonts w:ascii="Times New Roman" w:eastAsia="Times New Roman" w:hAnsi="Times New Roman" w:cs="Times New Roman"/>
          <w:sz w:val="24"/>
          <w:szCs w:val="24"/>
        </w:rPr>
        <w:t xml:space="preserve"> el</w:t>
      </w:r>
      <w:r w:rsidR="008B0F5D" w:rsidRPr="001D41A5">
        <w:rPr>
          <w:rFonts w:ascii="Times New Roman" w:eastAsia="Times New Roman" w:hAnsi="Times New Roman" w:cs="Times New Roman"/>
          <w:sz w:val="24"/>
          <w:szCs w:val="24"/>
        </w:rPr>
        <w:t xml:space="preserve"> método de capitalización de rentas son métodos principales</w:t>
      </w:r>
      <w:r w:rsidRPr="001D41A5">
        <w:rPr>
          <w:rFonts w:ascii="Times New Roman" w:eastAsia="Times New Roman" w:hAnsi="Times New Roman" w:cs="Times New Roman"/>
          <w:sz w:val="24"/>
          <w:szCs w:val="24"/>
        </w:rPr>
        <w:t xml:space="preserve">, lo que quiere decir que </w:t>
      </w:r>
      <w:r w:rsidR="008B0F5D" w:rsidRPr="001D41A5">
        <w:rPr>
          <w:rFonts w:ascii="Times New Roman" w:eastAsia="Times New Roman" w:hAnsi="Times New Roman" w:cs="Times New Roman"/>
          <w:sz w:val="24"/>
          <w:szCs w:val="24"/>
        </w:rPr>
        <w:t>se deberían utilizar</w:t>
      </w:r>
      <w:r w:rsidR="00E84733" w:rsidRPr="001D41A5">
        <w:rPr>
          <w:rFonts w:ascii="Times New Roman" w:eastAsia="Times New Roman" w:hAnsi="Times New Roman" w:cs="Times New Roman"/>
          <w:sz w:val="24"/>
          <w:szCs w:val="24"/>
        </w:rPr>
        <w:t xml:space="preserve"> siempre</w:t>
      </w:r>
      <w:r w:rsidRPr="001D41A5">
        <w:rPr>
          <w:rFonts w:ascii="Times New Roman" w:eastAsia="Times New Roman" w:hAnsi="Times New Roman" w:cs="Times New Roman"/>
          <w:sz w:val="24"/>
          <w:szCs w:val="24"/>
        </w:rPr>
        <w:t>.</w:t>
      </w:r>
      <w:r w:rsidR="00E84733" w:rsidRPr="001D41A5">
        <w:rPr>
          <w:rFonts w:ascii="Times New Roman" w:eastAsia="Times New Roman" w:hAnsi="Times New Roman" w:cs="Times New Roman"/>
          <w:sz w:val="24"/>
          <w:szCs w:val="24"/>
        </w:rPr>
        <w:t xml:space="preserve"> </w:t>
      </w:r>
      <w:r w:rsidRPr="001D41A5">
        <w:rPr>
          <w:rFonts w:ascii="Times New Roman" w:eastAsia="Times New Roman" w:hAnsi="Times New Roman" w:cs="Times New Roman"/>
          <w:sz w:val="24"/>
          <w:szCs w:val="24"/>
        </w:rPr>
        <w:t>P</w:t>
      </w:r>
      <w:r w:rsidR="005812E5" w:rsidRPr="001D41A5">
        <w:rPr>
          <w:rFonts w:ascii="Times New Roman" w:eastAsia="Times New Roman" w:hAnsi="Times New Roman" w:cs="Times New Roman"/>
          <w:sz w:val="24"/>
          <w:szCs w:val="24"/>
        </w:rPr>
        <w:t>ero</w:t>
      </w:r>
      <w:r w:rsidRPr="001D41A5">
        <w:rPr>
          <w:rFonts w:ascii="Times New Roman" w:eastAsia="Times New Roman" w:hAnsi="Times New Roman" w:cs="Times New Roman"/>
          <w:sz w:val="24"/>
          <w:szCs w:val="24"/>
        </w:rPr>
        <w:t xml:space="preserve"> si</w:t>
      </w:r>
      <w:r w:rsidR="005812E5" w:rsidRPr="001D41A5">
        <w:rPr>
          <w:rFonts w:ascii="Times New Roman" w:eastAsia="Times New Roman" w:hAnsi="Times New Roman" w:cs="Times New Roman"/>
          <w:sz w:val="24"/>
          <w:szCs w:val="24"/>
        </w:rPr>
        <w:t xml:space="preserve"> en</w:t>
      </w:r>
      <w:r w:rsidR="00E84733" w:rsidRPr="001D41A5">
        <w:rPr>
          <w:rFonts w:ascii="Times New Roman" w:eastAsia="Times New Roman" w:hAnsi="Times New Roman" w:cs="Times New Roman"/>
          <w:sz w:val="24"/>
          <w:szCs w:val="24"/>
        </w:rPr>
        <w:t xml:space="preserve"> la realización de un avalúo, </w:t>
      </w:r>
      <w:r w:rsidRPr="001D41A5">
        <w:rPr>
          <w:rFonts w:ascii="Times New Roman" w:eastAsia="Times New Roman" w:hAnsi="Times New Roman" w:cs="Times New Roman"/>
          <w:sz w:val="24"/>
          <w:szCs w:val="24"/>
        </w:rPr>
        <w:t>el profesional no tiene</w:t>
      </w:r>
      <w:r w:rsidR="00E84733" w:rsidRPr="001D41A5">
        <w:rPr>
          <w:rFonts w:ascii="Times New Roman" w:eastAsia="Times New Roman" w:hAnsi="Times New Roman" w:cs="Times New Roman"/>
          <w:sz w:val="24"/>
          <w:szCs w:val="24"/>
        </w:rPr>
        <w:t xml:space="preserve"> mercados ni rentas en el sector</w:t>
      </w:r>
      <w:r w:rsidR="009675F7" w:rsidRPr="001D41A5">
        <w:rPr>
          <w:rFonts w:ascii="Times New Roman" w:eastAsia="Times New Roman" w:hAnsi="Times New Roman" w:cs="Times New Roman"/>
          <w:sz w:val="24"/>
          <w:szCs w:val="24"/>
        </w:rPr>
        <w:t>,</w:t>
      </w:r>
      <w:r w:rsidR="00E84733" w:rsidRPr="001D41A5">
        <w:rPr>
          <w:rFonts w:ascii="Times New Roman" w:eastAsia="Times New Roman" w:hAnsi="Times New Roman" w:cs="Times New Roman"/>
          <w:sz w:val="24"/>
          <w:szCs w:val="24"/>
        </w:rPr>
        <w:t xml:space="preserve"> </w:t>
      </w:r>
      <w:r w:rsidRPr="001D41A5">
        <w:rPr>
          <w:rFonts w:ascii="Times New Roman" w:eastAsia="Times New Roman" w:hAnsi="Times New Roman" w:cs="Times New Roman"/>
          <w:sz w:val="24"/>
          <w:szCs w:val="24"/>
        </w:rPr>
        <w:t>da</w:t>
      </w:r>
      <w:r w:rsidR="00E84733" w:rsidRPr="001D41A5">
        <w:rPr>
          <w:rFonts w:ascii="Times New Roman" w:eastAsia="Times New Roman" w:hAnsi="Times New Roman" w:cs="Times New Roman"/>
          <w:sz w:val="24"/>
          <w:szCs w:val="24"/>
        </w:rPr>
        <w:t xml:space="preserve"> paso a los dos métodos siguientes</w:t>
      </w:r>
      <w:r w:rsidRPr="001D41A5">
        <w:rPr>
          <w:rFonts w:ascii="Times New Roman" w:eastAsia="Times New Roman" w:hAnsi="Times New Roman" w:cs="Times New Roman"/>
          <w:sz w:val="24"/>
          <w:szCs w:val="24"/>
        </w:rPr>
        <w:t>,</w:t>
      </w:r>
      <w:r w:rsidR="00E84733" w:rsidRPr="001D41A5">
        <w:rPr>
          <w:rFonts w:ascii="Times New Roman" w:eastAsia="Times New Roman" w:hAnsi="Times New Roman" w:cs="Times New Roman"/>
          <w:sz w:val="24"/>
          <w:szCs w:val="24"/>
        </w:rPr>
        <w:t xml:space="preserve"> </w:t>
      </w:r>
      <w:r w:rsidRPr="001D41A5">
        <w:rPr>
          <w:rFonts w:ascii="Times New Roman" w:eastAsia="Times New Roman" w:hAnsi="Times New Roman" w:cs="Times New Roman"/>
          <w:sz w:val="24"/>
          <w:szCs w:val="24"/>
        </w:rPr>
        <w:t>que en todo caso</w:t>
      </w:r>
      <w:r w:rsidR="00E84733" w:rsidRPr="001D41A5">
        <w:rPr>
          <w:rFonts w:ascii="Times New Roman" w:eastAsia="Times New Roman" w:hAnsi="Times New Roman" w:cs="Times New Roman"/>
          <w:sz w:val="24"/>
          <w:szCs w:val="24"/>
        </w:rPr>
        <w:t xml:space="preserve"> son subsidiarios</w:t>
      </w:r>
      <w:r w:rsidRPr="001D41A5">
        <w:rPr>
          <w:rFonts w:ascii="Times New Roman" w:eastAsia="Times New Roman" w:hAnsi="Times New Roman" w:cs="Times New Roman"/>
          <w:sz w:val="24"/>
          <w:szCs w:val="24"/>
        </w:rPr>
        <w:t>:</w:t>
      </w:r>
      <w:r w:rsidR="00E84733" w:rsidRPr="001D41A5">
        <w:rPr>
          <w:rFonts w:ascii="Times New Roman" w:eastAsia="Times New Roman" w:hAnsi="Times New Roman" w:cs="Times New Roman"/>
          <w:sz w:val="24"/>
          <w:szCs w:val="24"/>
        </w:rPr>
        <w:t xml:space="preserve"> el método de costo de reposición y el método o </w:t>
      </w:r>
      <w:r w:rsidR="00E84733" w:rsidRPr="001D41A5">
        <w:rPr>
          <w:rFonts w:ascii="Times New Roman" w:eastAsia="Times New Roman" w:hAnsi="Times New Roman" w:cs="Times New Roman"/>
          <w:sz w:val="24"/>
          <w:szCs w:val="24"/>
        </w:rPr>
        <w:lastRenderedPageBreak/>
        <w:t>técnica residual</w:t>
      </w:r>
      <w:r w:rsidRPr="001D41A5">
        <w:rPr>
          <w:rFonts w:ascii="Times New Roman" w:eastAsia="Times New Roman" w:hAnsi="Times New Roman" w:cs="Times New Roman"/>
          <w:sz w:val="24"/>
          <w:szCs w:val="24"/>
        </w:rPr>
        <w:t>; e</w:t>
      </w:r>
      <w:r w:rsidR="00E84733" w:rsidRPr="001D41A5">
        <w:rPr>
          <w:rFonts w:ascii="Times New Roman" w:eastAsia="Times New Roman" w:hAnsi="Times New Roman" w:cs="Times New Roman"/>
          <w:sz w:val="24"/>
          <w:szCs w:val="24"/>
        </w:rPr>
        <w:t>ste ultimo de mayor utilidad en lotes urbanos y pocas veces se le utiliza en parcelaciones rurales.</w:t>
      </w:r>
    </w:p>
    <w:p w14:paraId="5785C207" w14:textId="77777777" w:rsidR="00405C28" w:rsidRPr="001D41A5" w:rsidRDefault="00405C28" w:rsidP="00025654">
      <w:pPr>
        <w:spacing w:before="69" w:line="480" w:lineRule="auto"/>
        <w:ind w:firstLine="720"/>
        <w:jc w:val="both"/>
        <w:rPr>
          <w:rFonts w:ascii="Times New Roman" w:eastAsia="Times New Roman" w:hAnsi="Times New Roman" w:cs="Times New Roman"/>
          <w:sz w:val="24"/>
          <w:szCs w:val="24"/>
        </w:rPr>
      </w:pPr>
    </w:p>
    <w:p w14:paraId="43535DB5" w14:textId="22442FB8" w:rsidR="00917351" w:rsidRPr="001D41A5" w:rsidRDefault="00474B5D"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En los predios rurales cuando </w:t>
      </w:r>
      <w:r w:rsidR="00BE0B5E" w:rsidRPr="001D41A5">
        <w:rPr>
          <w:rFonts w:ascii="Times New Roman" w:eastAsia="Times New Roman" w:hAnsi="Times New Roman" w:cs="Times New Roman"/>
          <w:sz w:val="24"/>
          <w:szCs w:val="24"/>
        </w:rPr>
        <w:t>se le da</w:t>
      </w:r>
      <w:r w:rsidRPr="001D41A5">
        <w:rPr>
          <w:rFonts w:ascii="Times New Roman" w:eastAsia="Times New Roman" w:hAnsi="Times New Roman" w:cs="Times New Roman"/>
          <w:sz w:val="24"/>
          <w:szCs w:val="24"/>
        </w:rPr>
        <w:t xml:space="preserve"> utilidad al primer método que se encuentra en el </w:t>
      </w:r>
      <w:proofErr w:type="spellStart"/>
      <w:r w:rsidRPr="001D41A5">
        <w:rPr>
          <w:rFonts w:ascii="Times New Roman" w:eastAsia="Times New Roman" w:hAnsi="Times New Roman" w:cs="Times New Roman"/>
          <w:sz w:val="24"/>
          <w:szCs w:val="24"/>
        </w:rPr>
        <w:t>articulo</w:t>
      </w:r>
      <w:proofErr w:type="spellEnd"/>
      <w:r w:rsidRPr="001D41A5">
        <w:rPr>
          <w:rFonts w:ascii="Times New Roman" w:eastAsia="Times New Roman" w:hAnsi="Times New Roman" w:cs="Times New Roman"/>
          <w:sz w:val="24"/>
          <w:szCs w:val="24"/>
        </w:rPr>
        <w:t xml:space="preserve"> 1 de la </w:t>
      </w:r>
      <w:r w:rsidR="00BE0B5E" w:rsidRPr="001D41A5">
        <w:rPr>
          <w:rFonts w:ascii="Times New Roman" w:eastAsia="Times New Roman" w:hAnsi="Times New Roman" w:cs="Times New Roman"/>
          <w:sz w:val="24"/>
          <w:szCs w:val="24"/>
        </w:rPr>
        <w:t>R</w:t>
      </w:r>
      <w:r w:rsidRPr="001D41A5">
        <w:rPr>
          <w:rFonts w:ascii="Times New Roman" w:eastAsia="Times New Roman" w:hAnsi="Times New Roman" w:cs="Times New Roman"/>
          <w:sz w:val="24"/>
          <w:szCs w:val="24"/>
        </w:rPr>
        <w:t>esolución 620</w:t>
      </w:r>
      <w:r w:rsidR="00BE0B5E" w:rsidRPr="001D41A5">
        <w:rPr>
          <w:rFonts w:ascii="Times New Roman" w:eastAsia="Times New Roman" w:hAnsi="Times New Roman" w:cs="Times New Roman"/>
          <w:sz w:val="24"/>
          <w:szCs w:val="24"/>
        </w:rPr>
        <w:t xml:space="preserve"> de 2008,</w:t>
      </w:r>
      <w:r w:rsidRPr="001D41A5">
        <w:rPr>
          <w:rFonts w:ascii="Times New Roman" w:eastAsia="Times New Roman" w:hAnsi="Times New Roman" w:cs="Times New Roman"/>
          <w:sz w:val="24"/>
          <w:szCs w:val="24"/>
        </w:rPr>
        <w:t xml:space="preserve"> método comparativo de mercado</w:t>
      </w:r>
      <w:r w:rsidR="00BE0B5E" w:rsidRPr="001D41A5">
        <w:rPr>
          <w:rFonts w:ascii="Times New Roman" w:eastAsia="Times New Roman" w:hAnsi="Times New Roman" w:cs="Times New Roman"/>
          <w:sz w:val="24"/>
          <w:szCs w:val="24"/>
        </w:rPr>
        <w:t>,</w:t>
      </w:r>
      <w:r w:rsidR="00DB18BB" w:rsidRPr="001D41A5">
        <w:rPr>
          <w:rFonts w:ascii="Times New Roman" w:eastAsia="Times New Roman" w:hAnsi="Times New Roman" w:cs="Times New Roman"/>
          <w:sz w:val="24"/>
          <w:szCs w:val="24"/>
        </w:rPr>
        <w:t xml:space="preserve"> </w:t>
      </w:r>
      <w:r w:rsidR="00BE0B5E" w:rsidRPr="001D41A5">
        <w:rPr>
          <w:rFonts w:ascii="Times New Roman" w:eastAsia="Times New Roman" w:hAnsi="Times New Roman" w:cs="Times New Roman"/>
          <w:sz w:val="24"/>
          <w:szCs w:val="24"/>
        </w:rPr>
        <w:t>se debe</w:t>
      </w:r>
      <w:r w:rsidR="00DB18BB" w:rsidRPr="001D41A5">
        <w:rPr>
          <w:rFonts w:ascii="Times New Roman" w:eastAsia="Times New Roman" w:hAnsi="Times New Roman" w:cs="Times New Roman"/>
          <w:sz w:val="24"/>
          <w:szCs w:val="24"/>
        </w:rPr>
        <w:t xml:space="preserve"> iniciar con buscar ofertas o transacciones reales</w:t>
      </w:r>
      <w:r w:rsidR="00BE0B5E" w:rsidRPr="001D41A5">
        <w:rPr>
          <w:rFonts w:ascii="Times New Roman" w:eastAsia="Times New Roman" w:hAnsi="Times New Roman" w:cs="Times New Roman"/>
          <w:sz w:val="24"/>
          <w:szCs w:val="24"/>
        </w:rPr>
        <w:t>,</w:t>
      </w:r>
      <w:r w:rsidR="00DB18BB" w:rsidRPr="001D41A5">
        <w:rPr>
          <w:rFonts w:ascii="Times New Roman" w:eastAsia="Times New Roman" w:hAnsi="Times New Roman" w:cs="Times New Roman"/>
          <w:sz w:val="24"/>
          <w:szCs w:val="24"/>
        </w:rPr>
        <w:t xml:space="preserve"> y a cada una de estas</w:t>
      </w:r>
      <w:r w:rsidR="009675F7" w:rsidRPr="001D41A5">
        <w:rPr>
          <w:rFonts w:ascii="Times New Roman" w:eastAsia="Times New Roman" w:hAnsi="Times New Roman" w:cs="Times New Roman"/>
          <w:sz w:val="24"/>
          <w:szCs w:val="24"/>
        </w:rPr>
        <w:t xml:space="preserve"> ofertas </w:t>
      </w:r>
      <w:r w:rsidR="00BE0B5E" w:rsidRPr="001D41A5">
        <w:rPr>
          <w:rFonts w:ascii="Times New Roman" w:eastAsia="Times New Roman" w:hAnsi="Times New Roman" w:cs="Times New Roman"/>
          <w:sz w:val="24"/>
          <w:szCs w:val="24"/>
        </w:rPr>
        <w:t>se les debe</w:t>
      </w:r>
      <w:r w:rsidR="00DB18BB" w:rsidRPr="001D41A5">
        <w:rPr>
          <w:rFonts w:ascii="Times New Roman" w:eastAsia="Times New Roman" w:hAnsi="Times New Roman" w:cs="Times New Roman"/>
          <w:sz w:val="24"/>
          <w:szCs w:val="24"/>
        </w:rPr>
        <w:t xml:space="preserve"> </w:t>
      </w:r>
      <w:r w:rsidR="00BE0B5E" w:rsidRPr="001D41A5">
        <w:rPr>
          <w:rFonts w:ascii="Times New Roman" w:eastAsia="Times New Roman" w:hAnsi="Times New Roman" w:cs="Times New Roman"/>
          <w:sz w:val="24"/>
          <w:szCs w:val="24"/>
        </w:rPr>
        <w:t>sacar</w:t>
      </w:r>
      <w:r w:rsidR="00DB18BB" w:rsidRPr="001D41A5">
        <w:rPr>
          <w:rFonts w:ascii="Times New Roman" w:eastAsia="Times New Roman" w:hAnsi="Times New Roman" w:cs="Times New Roman"/>
          <w:sz w:val="24"/>
          <w:szCs w:val="24"/>
        </w:rPr>
        <w:t xml:space="preserve"> el valor de las construcciones y mejoras, valor de los cultivos</w:t>
      </w:r>
      <w:r w:rsidR="00BE0B5E" w:rsidRPr="001D41A5">
        <w:rPr>
          <w:rFonts w:ascii="Times New Roman" w:eastAsia="Times New Roman" w:hAnsi="Times New Roman" w:cs="Times New Roman"/>
          <w:sz w:val="24"/>
          <w:szCs w:val="24"/>
        </w:rPr>
        <w:t>,</w:t>
      </w:r>
      <w:r w:rsidR="00DB18BB" w:rsidRPr="001D41A5">
        <w:rPr>
          <w:rFonts w:ascii="Times New Roman" w:eastAsia="Times New Roman" w:hAnsi="Times New Roman" w:cs="Times New Roman"/>
          <w:sz w:val="24"/>
          <w:szCs w:val="24"/>
        </w:rPr>
        <w:t xml:space="preserve"> con el fin de dejar el valor de la tierra totalmente sola</w:t>
      </w:r>
      <w:r w:rsidR="009675F7" w:rsidRPr="001D41A5">
        <w:rPr>
          <w:rFonts w:ascii="Times New Roman" w:eastAsia="Times New Roman" w:hAnsi="Times New Roman" w:cs="Times New Roman"/>
          <w:sz w:val="24"/>
          <w:szCs w:val="24"/>
        </w:rPr>
        <w:t>,</w:t>
      </w:r>
      <w:r w:rsidR="00DB18BB" w:rsidRPr="001D41A5">
        <w:rPr>
          <w:rFonts w:ascii="Times New Roman" w:eastAsia="Times New Roman" w:hAnsi="Times New Roman" w:cs="Times New Roman"/>
          <w:sz w:val="24"/>
          <w:szCs w:val="24"/>
        </w:rPr>
        <w:t xml:space="preserve"> sin absolutamente nada de construcciones ni de mejoras ni de cultivos</w:t>
      </w:r>
      <w:r w:rsidR="00BE0B5E" w:rsidRPr="001D41A5">
        <w:rPr>
          <w:rFonts w:ascii="Times New Roman" w:eastAsia="Times New Roman" w:hAnsi="Times New Roman" w:cs="Times New Roman"/>
          <w:sz w:val="24"/>
          <w:szCs w:val="24"/>
        </w:rPr>
        <w:t>. De esta forma se puede</w:t>
      </w:r>
      <w:r w:rsidR="00DB18BB" w:rsidRPr="001D41A5">
        <w:rPr>
          <w:rFonts w:ascii="Times New Roman" w:eastAsia="Times New Roman" w:hAnsi="Times New Roman" w:cs="Times New Roman"/>
          <w:sz w:val="24"/>
          <w:szCs w:val="24"/>
        </w:rPr>
        <w:t xml:space="preserve"> </w:t>
      </w:r>
      <w:r w:rsidR="00BE0B5E" w:rsidRPr="001D41A5">
        <w:rPr>
          <w:rFonts w:ascii="Times New Roman" w:eastAsia="Times New Roman" w:hAnsi="Times New Roman" w:cs="Times New Roman"/>
          <w:sz w:val="24"/>
          <w:szCs w:val="24"/>
        </w:rPr>
        <w:t>cotejar</w:t>
      </w:r>
      <w:r w:rsidR="00DB18BB" w:rsidRPr="001D41A5">
        <w:rPr>
          <w:rFonts w:ascii="Times New Roman" w:eastAsia="Times New Roman" w:hAnsi="Times New Roman" w:cs="Times New Roman"/>
          <w:sz w:val="24"/>
          <w:szCs w:val="24"/>
        </w:rPr>
        <w:t xml:space="preserve"> con la tierra que </w:t>
      </w:r>
      <w:r w:rsidR="00987E3A" w:rsidRPr="001D41A5">
        <w:rPr>
          <w:rFonts w:ascii="Times New Roman" w:eastAsia="Times New Roman" w:hAnsi="Times New Roman" w:cs="Times New Roman"/>
          <w:sz w:val="24"/>
          <w:szCs w:val="24"/>
        </w:rPr>
        <w:t>se va</w:t>
      </w:r>
      <w:r w:rsidR="00DB18BB" w:rsidRPr="001D41A5">
        <w:rPr>
          <w:rFonts w:ascii="Times New Roman" w:eastAsia="Times New Roman" w:hAnsi="Times New Roman" w:cs="Times New Roman"/>
          <w:sz w:val="24"/>
          <w:szCs w:val="24"/>
        </w:rPr>
        <w:t xml:space="preserve"> a avaluar</w:t>
      </w:r>
      <w:r w:rsidR="00987E3A" w:rsidRPr="001D41A5">
        <w:rPr>
          <w:rFonts w:ascii="Times New Roman" w:eastAsia="Times New Roman" w:hAnsi="Times New Roman" w:cs="Times New Roman"/>
          <w:sz w:val="24"/>
          <w:szCs w:val="24"/>
        </w:rPr>
        <w:t>,</w:t>
      </w:r>
      <w:r w:rsidR="00DB18BB" w:rsidRPr="001D41A5">
        <w:rPr>
          <w:rFonts w:ascii="Times New Roman" w:eastAsia="Times New Roman" w:hAnsi="Times New Roman" w:cs="Times New Roman"/>
          <w:sz w:val="24"/>
          <w:szCs w:val="24"/>
        </w:rPr>
        <w:t xml:space="preserve"> </w:t>
      </w:r>
      <w:r w:rsidR="00987E3A" w:rsidRPr="001D41A5">
        <w:rPr>
          <w:rFonts w:ascii="Times New Roman" w:eastAsia="Times New Roman" w:hAnsi="Times New Roman" w:cs="Times New Roman"/>
          <w:sz w:val="24"/>
          <w:szCs w:val="24"/>
        </w:rPr>
        <w:t xml:space="preserve">en la </w:t>
      </w:r>
      <w:r w:rsidR="00DB18BB" w:rsidRPr="001D41A5">
        <w:rPr>
          <w:rFonts w:ascii="Times New Roman" w:eastAsia="Times New Roman" w:hAnsi="Times New Roman" w:cs="Times New Roman"/>
          <w:sz w:val="24"/>
          <w:szCs w:val="24"/>
        </w:rPr>
        <w:t>que también</w:t>
      </w:r>
      <w:r w:rsidR="00987E3A" w:rsidRPr="001D41A5">
        <w:rPr>
          <w:rFonts w:ascii="Times New Roman" w:eastAsia="Times New Roman" w:hAnsi="Times New Roman" w:cs="Times New Roman"/>
          <w:sz w:val="24"/>
          <w:szCs w:val="24"/>
        </w:rPr>
        <w:t xml:space="preserve"> se</w:t>
      </w:r>
      <w:r w:rsidR="00DB18BB" w:rsidRPr="001D41A5">
        <w:rPr>
          <w:rFonts w:ascii="Times New Roman" w:eastAsia="Times New Roman" w:hAnsi="Times New Roman" w:cs="Times New Roman"/>
          <w:sz w:val="24"/>
          <w:szCs w:val="24"/>
        </w:rPr>
        <w:t xml:space="preserve"> deb</w:t>
      </w:r>
      <w:r w:rsidR="00987E3A" w:rsidRPr="001D41A5">
        <w:rPr>
          <w:rFonts w:ascii="Times New Roman" w:eastAsia="Times New Roman" w:hAnsi="Times New Roman" w:cs="Times New Roman"/>
          <w:sz w:val="24"/>
          <w:szCs w:val="24"/>
        </w:rPr>
        <w:t>e</w:t>
      </w:r>
      <w:r w:rsidR="00DB18BB" w:rsidRPr="001D41A5">
        <w:rPr>
          <w:rFonts w:ascii="Times New Roman" w:eastAsia="Times New Roman" w:hAnsi="Times New Roman" w:cs="Times New Roman"/>
          <w:sz w:val="24"/>
          <w:szCs w:val="24"/>
        </w:rPr>
        <w:t xml:space="preserve"> realizar la misma actividad </w:t>
      </w:r>
      <w:r w:rsidR="0036487D" w:rsidRPr="001D41A5">
        <w:rPr>
          <w:rFonts w:ascii="Times New Roman" w:eastAsia="Times New Roman" w:hAnsi="Times New Roman" w:cs="Times New Roman"/>
          <w:sz w:val="24"/>
          <w:szCs w:val="24"/>
        </w:rPr>
        <w:t>de sacar los valores independientes tanto de construcciones y mejoras como</w:t>
      </w:r>
      <w:r w:rsidR="009675F7" w:rsidRPr="001D41A5">
        <w:rPr>
          <w:rFonts w:ascii="Times New Roman" w:eastAsia="Times New Roman" w:hAnsi="Times New Roman" w:cs="Times New Roman"/>
          <w:sz w:val="24"/>
          <w:szCs w:val="24"/>
        </w:rPr>
        <w:t xml:space="preserve"> también</w:t>
      </w:r>
      <w:r w:rsidR="0036487D" w:rsidRPr="001D41A5">
        <w:rPr>
          <w:rFonts w:ascii="Times New Roman" w:eastAsia="Times New Roman" w:hAnsi="Times New Roman" w:cs="Times New Roman"/>
          <w:sz w:val="24"/>
          <w:szCs w:val="24"/>
        </w:rPr>
        <w:t xml:space="preserve"> de cultivos</w:t>
      </w:r>
      <w:r w:rsidR="00917351" w:rsidRPr="001D41A5">
        <w:rPr>
          <w:rFonts w:ascii="Times New Roman" w:eastAsia="Times New Roman" w:hAnsi="Times New Roman" w:cs="Times New Roman"/>
          <w:sz w:val="24"/>
          <w:szCs w:val="24"/>
        </w:rPr>
        <w:t>.</w:t>
      </w:r>
    </w:p>
    <w:p w14:paraId="026D2743" w14:textId="77777777" w:rsidR="0023592F" w:rsidRPr="001D41A5" w:rsidRDefault="0023592F" w:rsidP="00025654">
      <w:pPr>
        <w:spacing w:before="69" w:line="480" w:lineRule="auto"/>
        <w:ind w:firstLine="720"/>
        <w:jc w:val="both"/>
        <w:rPr>
          <w:rFonts w:ascii="Times New Roman" w:eastAsia="Times New Roman" w:hAnsi="Times New Roman" w:cs="Times New Roman"/>
          <w:sz w:val="24"/>
          <w:szCs w:val="24"/>
        </w:rPr>
      </w:pPr>
    </w:p>
    <w:p w14:paraId="36EBEBD3" w14:textId="0A744A1C" w:rsidR="00E45122" w:rsidRPr="001D41A5" w:rsidRDefault="00917351"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Ya habiendo realizado dicha labor de tener de cada mercado encontrado</w:t>
      </w:r>
      <w:r w:rsidR="00024E05" w:rsidRPr="001D41A5">
        <w:rPr>
          <w:rFonts w:ascii="Times New Roman" w:eastAsia="Times New Roman" w:hAnsi="Times New Roman" w:cs="Times New Roman"/>
          <w:sz w:val="24"/>
          <w:szCs w:val="24"/>
        </w:rPr>
        <w:t>,</w:t>
      </w:r>
      <w:r w:rsidRPr="001D41A5">
        <w:rPr>
          <w:rFonts w:ascii="Times New Roman" w:eastAsia="Times New Roman" w:hAnsi="Times New Roman" w:cs="Times New Roman"/>
          <w:sz w:val="24"/>
          <w:szCs w:val="24"/>
        </w:rPr>
        <w:t xml:space="preserve"> </w:t>
      </w:r>
      <w:r w:rsidR="00024E05" w:rsidRPr="001D41A5">
        <w:rPr>
          <w:rFonts w:ascii="Times New Roman" w:eastAsia="Times New Roman" w:hAnsi="Times New Roman" w:cs="Times New Roman"/>
          <w:sz w:val="24"/>
          <w:szCs w:val="24"/>
        </w:rPr>
        <w:t xml:space="preserve">con base en la investigación de archivos digitales o físicos, </w:t>
      </w:r>
      <w:r w:rsidRPr="001D41A5">
        <w:rPr>
          <w:rFonts w:ascii="Times New Roman" w:eastAsia="Times New Roman" w:hAnsi="Times New Roman" w:cs="Times New Roman"/>
          <w:sz w:val="24"/>
          <w:szCs w:val="24"/>
        </w:rPr>
        <w:t>sigue un segundo paso y es el de comparar</w:t>
      </w:r>
      <w:r w:rsidR="00024E05" w:rsidRPr="001D41A5">
        <w:rPr>
          <w:rFonts w:ascii="Times New Roman" w:eastAsia="Times New Roman" w:hAnsi="Times New Roman" w:cs="Times New Roman"/>
          <w:sz w:val="24"/>
          <w:szCs w:val="24"/>
        </w:rPr>
        <w:t>, para lo cual se requiere</w:t>
      </w:r>
      <w:r w:rsidRPr="001D41A5">
        <w:rPr>
          <w:rFonts w:ascii="Times New Roman" w:eastAsia="Times New Roman" w:hAnsi="Times New Roman" w:cs="Times New Roman"/>
          <w:sz w:val="24"/>
          <w:szCs w:val="24"/>
        </w:rPr>
        <w:t xml:space="preserve"> acudir a la estadística mediante la </w:t>
      </w:r>
      <w:r w:rsidR="00C31AD9" w:rsidRPr="001D41A5">
        <w:rPr>
          <w:rFonts w:ascii="Times New Roman" w:eastAsia="Times New Roman" w:hAnsi="Times New Roman" w:cs="Times New Roman"/>
          <w:sz w:val="24"/>
          <w:szCs w:val="24"/>
        </w:rPr>
        <w:t>homogenización</w:t>
      </w:r>
      <w:r w:rsidR="00024E05" w:rsidRPr="001D41A5">
        <w:rPr>
          <w:rFonts w:ascii="Times New Roman" w:eastAsia="Times New Roman" w:hAnsi="Times New Roman" w:cs="Times New Roman"/>
          <w:sz w:val="24"/>
          <w:szCs w:val="24"/>
        </w:rPr>
        <w:t xml:space="preserve">, que </w:t>
      </w:r>
      <w:r w:rsidR="00C31AD9" w:rsidRPr="001D41A5">
        <w:rPr>
          <w:rFonts w:ascii="Times New Roman" w:eastAsia="Times New Roman" w:hAnsi="Times New Roman" w:cs="Times New Roman"/>
          <w:sz w:val="24"/>
          <w:szCs w:val="24"/>
        </w:rPr>
        <w:t>consiste en analizar, depurar, comparar, varios valores con respecto a un predio al cual se necesita determinar un valor para otro inmueble que queremos conocer su valor o precio.</w:t>
      </w:r>
      <w:r w:rsidRPr="001D41A5">
        <w:rPr>
          <w:rFonts w:ascii="Times New Roman" w:eastAsia="Times New Roman" w:hAnsi="Times New Roman" w:cs="Times New Roman"/>
          <w:sz w:val="24"/>
          <w:szCs w:val="24"/>
        </w:rPr>
        <w:t xml:space="preserve"> </w:t>
      </w:r>
    </w:p>
    <w:p w14:paraId="31429771" w14:textId="77777777" w:rsidR="00E45122" w:rsidRPr="001D41A5" w:rsidRDefault="00E45122" w:rsidP="00025654">
      <w:pPr>
        <w:spacing w:before="69" w:line="480" w:lineRule="auto"/>
        <w:ind w:firstLine="720"/>
        <w:jc w:val="both"/>
        <w:rPr>
          <w:rFonts w:ascii="Times New Roman" w:eastAsia="Times New Roman" w:hAnsi="Times New Roman" w:cs="Times New Roman"/>
          <w:sz w:val="24"/>
          <w:szCs w:val="24"/>
        </w:rPr>
      </w:pPr>
    </w:p>
    <w:p w14:paraId="6A1182A7" w14:textId="27F18956" w:rsidR="00FF5790" w:rsidRPr="001D41A5" w:rsidRDefault="00FF5790" w:rsidP="00864BC9">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Se presenta una comparación e homogeneización del terreno que se está evaluando en relación con otras ofertas, resaltando las características diferenciadoras que impactarán en su valor comercial</w:t>
      </w:r>
      <w:r w:rsidR="00337A49" w:rsidRPr="001D41A5">
        <w:rPr>
          <w:rFonts w:ascii="Times New Roman" w:eastAsia="Times New Roman" w:hAnsi="Times New Roman" w:cs="Times New Roman"/>
          <w:sz w:val="24"/>
          <w:szCs w:val="24"/>
        </w:rPr>
        <w:t>,</w:t>
      </w:r>
      <w:r w:rsidRPr="001D41A5">
        <w:rPr>
          <w:rFonts w:ascii="Times New Roman" w:eastAsia="Times New Roman" w:hAnsi="Times New Roman" w:cs="Times New Roman"/>
          <w:sz w:val="24"/>
          <w:szCs w:val="24"/>
        </w:rPr>
        <w:t xml:space="preserve"> como las vías de acceso del terreno evaluado, destacando su calidad frente a otros terrenos en el mercado. Esta diferencia se considera como un factor positivo en la valoración del terreno en comparación con los que están siendo vendidos. </w:t>
      </w:r>
      <w:r w:rsidR="00337A49" w:rsidRPr="001D41A5">
        <w:rPr>
          <w:rFonts w:ascii="Times New Roman" w:eastAsia="Times New Roman" w:hAnsi="Times New Roman" w:cs="Times New Roman"/>
          <w:sz w:val="24"/>
          <w:szCs w:val="24"/>
        </w:rPr>
        <w:t>O</w:t>
      </w:r>
      <w:r w:rsidRPr="001D41A5">
        <w:rPr>
          <w:rFonts w:ascii="Times New Roman" w:eastAsia="Times New Roman" w:hAnsi="Times New Roman" w:cs="Times New Roman"/>
          <w:sz w:val="24"/>
          <w:szCs w:val="24"/>
        </w:rPr>
        <w:t>tros elementos a evaluar</w:t>
      </w:r>
      <w:r w:rsidR="00337A49" w:rsidRPr="001D41A5">
        <w:rPr>
          <w:rFonts w:ascii="Times New Roman" w:eastAsia="Times New Roman" w:hAnsi="Times New Roman" w:cs="Times New Roman"/>
          <w:sz w:val="24"/>
          <w:szCs w:val="24"/>
        </w:rPr>
        <w:t xml:space="preserve"> también son</w:t>
      </w:r>
      <w:r w:rsidRPr="001D41A5">
        <w:rPr>
          <w:rFonts w:ascii="Times New Roman" w:eastAsia="Times New Roman" w:hAnsi="Times New Roman" w:cs="Times New Roman"/>
          <w:sz w:val="24"/>
          <w:szCs w:val="24"/>
        </w:rPr>
        <w:t xml:space="preserve"> las pendientes, movimientos en masa, erosiones, vías internas, </w:t>
      </w:r>
      <w:r w:rsidRPr="001D41A5">
        <w:rPr>
          <w:rFonts w:ascii="Times New Roman" w:eastAsia="Times New Roman" w:hAnsi="Times New Roman" w:cs="Times New Roman"/>
          <w:sz w:val="24"/>
          <w:szCs w:val="24"/>
        </w:rPr>
        <w:lastRenderedPageBreak/>
        <w:t>construcción de acequias, orden público, distancia del centro poblado, frentes sobre la vía, servidumbres y otros factores relevantes.</w:t>
      </w:r>
    </w:p>
    <w:p w14:paraId="4B3D4EFE" w14:textId="3A74DEFD" w:rsidR="00FF5790" w:rsidRDefault="00FF5790" w:rsidP="00CE291C">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El proceso de homogeneización requiere conocimientos interdisciplinarios, no solo en términos de la normativa de avalúos, sino también en áreas como el </w:t>
      </w:r>
      <w:r w:rsidR="009E3F7C" w:rsidRPr="001D41A5">
        <w:rPr>
          <w:rFonts w:ascii="Times New Roman" w:eastAsia="Times New Roman" w:hAnsi="Times New Roman" w:cs="Times New Roman"/>
          <w:sz w:val="24"/>
          <w:szCs w:val="24"/>
        </w:rPr>
        <w:t>d</w:t>
      </w:r>
      <w:r w:rsidRPr="001D41A5">
        <w:rPr>
          <w:rFonts w:ascii="Times New Roman" w:eastAsia="Times New Roman" w:hAnsi="Times New Roman" w:cs="Times New Roman"/>
          <w:sz w:val="24"/>
          <w:szCs w:val="24"/>
        </w:rPr>
        <w:t xml:space="preserve">erecho, la ley de recursos naturales, regulaciones sobre canteras, rondas hídricas y valoración de servidumbres según la </w:t>
      </w:r>
      <w:r w:rsidR="009E3F7C" w:rsidRPr="001D41A5">
        <w:rPr>
          <w:rFonts w:ascii="Times New Roman" w:eastAsia="Times New Roman" w:hAnsi="Times New Roman" w:cs="Times New Roman"/>
          <w:sz w:val="24"/>
          <w:szCs w:val="24"/>
        </w:rPr>
        <w:t>R</w:t>
      </w:r>
      <w:r w:rsidRPr="001D41A5">
        <w:rPr>
          <w:rFonts w:ascii="Times New Roman" w:eastAsia="Times New Roman" w:hAnsi="Times New Roman" w:cs="Times New Roman"/>
          <w:sz w:val="24"/>
          <w:szCs w:val="24"/>
        </w:rPr>
        <w:t>esolución 1092 del 2022</w:t>
      </w:r>
      <w:r w:rsidR="009E3F7C" w:rsidRPr="001D41A5">
        <w:rPr>
          <w:rFonts w:ascii="Times New Roman" w:eastAsia="Times New Roman" w:hAnsi="Times New Roman" w:cs="Times New Roman"/>
          <w:sz w:val="24"/>
          <w:szCs w:val="24"/>
        </w:rPr>
        <w:t xml:space="preserve"> (IGAC, 2022)</w:t>
      </w:r>
      <w:r w:rsidRPr="001D41A5">
        <w:rPr>
          <w:rFonts w:ascii="Times New Roman" w:eastAsia="Times New Roman" w:hAnsi="Times New Roman" w:cs="Times New Roman"/>
          <w:sz w:val="24"/>
          <w:szCs w:val="24"/>
        </w:rPr>
        <w:t>.</w:t>
      </w:r>
    </w:p>
    <w:p w14:paraId="309B634E" w14:textId="77777777" w:rsidR="00405C28" w:rsidRPr="001D41A5" w:rsidRDefault="00405C28" w:rsidP="00CE291C">
      <w:pPr>
        <w:spacing w:before="69" w:line="480" w:lineRule="auto"/>
        <w:ind w:firstLine="720"/>
        <w:jc w:val="both"/>
        <w:rPr>
          <w:rFonts w:ascii="Times New Roman" w:eastAsia="Times New Roman" w:hAnsi="Times New Roman" w:cs="Times New Roman"/>
          <w:sz w:val="24"/>
          <w:szCs w:val="24"/>
        </w:rPr>
      </w:pPr>
    </w:p>
    <w:p w14:paraId="0A0C3780" w14:textId="77777777" w:rsidR="00FF5790" w:rsidRPr="001D41A5" w:rsidRDefault="00FF5790"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Para evaluar aspectos como movimientos en masa, erosiones, condiciones agrológicas, entre otros, se requiere comprensión de ingeniería geotécnica y agronomía. Sin embargo, para valorar construcciones, suele ser improbable encontrar comparativos directos, por lo que se recurre al método de costo de reposición. Esto implica un análisis detallado de precios unitarios, materiales utilizados y mano de obra contratada, junto con el conocimiento de materiales de construcción, patologías constructivas, entre otros aspectos de ingeniería civil y arquitectura.</w:t>
      </w:r>
    </w:p>
    <w:p w14:paraId="11B9D915" w14:textId="77777777" w:rsidR="00FF5790" w:rsidRPr="001D41A5" w:rsidRDefault="00FF5790" w:rsidP="00025654">
      <w:pPr>
        <w:spacing w:before="69" w:line="480" w:lineRule="auto"/>
        <w:ind w:firstLine="720"/>
        <w:jc w:val="both"/>
        <w:rPr>
          <w:rFonts w:ascii="Times New Roman" w:eastAsia="Times New Roman" w:hAnsi="Times New Roman" w:cs="Times New Roman"/>
          <w:sz w:val="24"/>
          <w:szCs w:val="24"/>
        </w:rPr>
      </w:pPr>
    </w:p>
    <w:p w14:paraId="21C9BB38" w14:textId="77777777" w:rsidR="00FF5790" w:rsidRPr="001D41A5" w:rsidRDefault="00FF5790"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 análisis de cultivos demanda comprensión en densidad de siembra, condiciones climáticas, salud vegetal, costos de producción y rentabilidad en el mercado. Además, se requiere evaluar la productividad actual, el costo de establecer y mantener el cultivo, y la rentabilidad asociada. Aquí, intervienen conocimientos en agronomía, finanzas y contabilidad.</w:t>
      </w:r>
    </w:p>
    <w:p w14:paraId="53201CD9" w14:textId="77777777" w:rsidR="00FF5790" w:rsidRPr="001D41A5" w:rsidRDefault="00FF5790" w:rsidP="00025654">
      <w:pPr>
        <w:spacing w:before="69" w:line="480" w:lineRule="auto"/>
        <w:ind w:firstLine="720"/>
        <w:jc w:val="both"/>
        <w:rPr>
          <w:rFonts w:ascii="Times New Roman" w:eastAsia="Times New Roman" w:hAnsi="Times New Roman" w:cs="Times New Roman"/>
          <w:sz w:val="24"/>
          <w:szCs w:val="24"/>
        </w:rPr>
      </w:pPr>
    </w:p>
    <w:p w14:paraId="11FF91F1" w14:textId="1860E0E7" w:rsidR="00FF5790" w:rsidRPr="001D41A5" w:rsidRDefault="000A0148"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Existe</w:t>
      </w:r>
      <w:r w:rsidR="00FF5790" w:rsidRPr="001D41A5">
        <w:rPr>
          <w:rFonts w:ascii="Times New Roman" w:eastAsia="Times New Roman" w:hAnsi="Times New Roman" w:cs="Times New Roman"/>
          <w:sz w:val="24"/>
          <w:szCs w:val="24"/>
        </w:rPr>
        <w:t xml:space="preserve"> la necesidad de manejar distintos saberes técnicos de varias disciplinas para realizar avalúos rurales precisos. A pesar de no requerir el dominio completo de cada profesión, es crucial tener nociones específicas de varios temas relevantes para los evaluadores rurales.</w:t>
      </w:r>
    </w:p>
    <w:p w14:paraId="148E8D9D" w14:textId="77777777" w:rsidR="00FF5790" w:rsidRPr="001D41A5" w:rsidRDefault="00FF5790" w:rsidP="00025654">
      <w:pPr>
        <w:spacing w:before="69" w:line="480" w:lineRule="auto"/>
        <w:ind w:firstLine="720"/>
        <w:jc w:val="both"/>
        <w:rPr>
          <w:rFonts w:ascii="Times New Roman" w:eastAsia="Times New Roman" w:hAnsi="Times New Roman" w:cs="Times New Roman"/>
          <w:sz w:val="24"/>
          <w:szCs w:val="24"/>
        </w:rPr>
      </w:pPr>
    </w:p>
    <w:p w14:paraId="5B4E1764" w14:textId="179F7A2C" w:rsidR="00244F7E" w:rsidRPr="001D41A5" w:rsidRDefault="00862683"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Finalmente se quiere resaltar la</w:t>
      </w:r>
      <w:r w:rsidR="00FF5790" w:rsidRPr="001D41A5">
        <w:rPr>
          <w:rFonts w:ascii="Times New Roman" w:eastAsia="Times New Roman" w:hAnsi="Times New Roman" w:cs="Times New Roman"/>
          <w:sz w:val="24"/>
          <w:szCs w:val="24"/>
        </w:rPr>
        <w:t xml:space="preserve"> importancia de que las entidades de auto regulación reconozcan la complejidad de los avalúos rurales al expedir registros y acreditaciones, garantizando así la calidad, seguridad y confianza en estos procesos para individuos y entidades interesadas, tanto en acciones administrativas como expropiaciones judiciales o administrativas.</w:t>
      </w:r>
    </w:p>
    <w:p w14:paraId="72CD860E" w14:textId="7E786F06"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 continuación, se muestra una gráfica muy interesante sobre una comparativa de los métodos valuatorios existentes y el respaldo normativo de cada uno (Peñuela, 2014, pág. 37):</w:t>
      </w:r>
    </w:p>
    <w:p w14:paraId="3C9E6D54"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6726C104" w14:textId="2C54B865" w:rsidR="00244F7E" w:rsidRPr="001D41A5" w:rsidRDefault="0089297B"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hAnsi="Times New Roman" w:cs="Times New Roman"/>
          <w:noProof/>
          <w:sz w:val="24"/>
          <w:szCs w:val="24"/>
        </w:rPr>
        <w:lastRenderedPageBreak/>
        <w:drawing>
          <wp:anchor distT="0" distB="0" distL="114300" distR="114300" simplePos="0" relativeHeight="251668992" behindDoc="0" locked="0" layoutInCell="1" hidden="0" allowOverlap="1" wp14:anchorId="27C6520E" wp14:editId="39E9ECE7">
            <wp:simplePos x="0" y="0"/>
            <wp:positionH relativeFrom="column">
              <wp:posOffset>0</wp:posOffset>
            </wp:positionH>
            <wp:positionV relativeFrom="paragraph">
              <wp:posOffset>-733425</wp:posOffset>
            </wp:positionV>
            <wp:extent cx="4981575" cy="5638800"/>
            <wp:effectExtent l="0" t="0" r="0" b="0"/>
            <wp:wrapTopAndBottom distT="0" distB="0"/>
            <wp:docPr id="12" name="Imagen 3"/>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4981575" cy="5638800"/>
                    </a:xfrm>
                    <a:prstGeom prst="rect">
                      <a:avLst/>
                    </a:prstGeom>
                    <a:ln/>
                  </pic:spPr>
                </pic:pic>
              </a:graphicData>
            </a:graphic>
            <wp14:sizeRelH relativeFrom="margin">
              <wp14:pctWidth>0</wp14:pctWidth>
            </wp14:sizeRelH>
            <wp14:sizeRelV relativeFrom="margin">
              <wp14:pctHeight>0</wp14:pctHeight>
            </wp14:sizeRelV>
          </wp:anchor>
        </w:drawing>
      </w:r>
      <w:r w:rsidR="00BF19B4" w:rsidRPr="001D41A5">
        <w:rPr>
          <w:rFonts w:ascii="Times New Roman" w:eastAsia="Times New Roman" w:hAnsi="Times New Roman" w:cs="Times New Roman"/>
          <w:sz w:val="24"/>
          <w:szCs w:val="24"/>
        </w:rPr>
        <w:t>Fuente: (Peñuela, 2014, pág. 37)</w:t>
      </w:r>
      <w:r w:rsidR="00EB5CD7" w:rsidRPr="001D41A5">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0C7EB0E2" wp14:editId="7D6BD198">
                <wp:simplePos x="0" y="0"/>
                <wp:positionH relativeFrom="column">
                  <wp:posOffset>0</wp:posOffset>
                </wp:positionH>
                <wp:positionV relativeFrom="paragraph">
                  <wp:posOffset>-101600</wp:posOffset>
                </wp:positionV>
                <wp:extent cx="5732145" cy="466725"/>
                <wp:effectExtent l="0" t="0" r="0" b="0"/>
                <wp:wrapTopAndBottom/>
                <wp:docPr id="1920498917" name="Rectá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2145" cy="466725"/>
                        </a:xfrm>
                        <a:prstGeom prst="rect">
                          <a:avLst/>
                        </a:prstGeom>
                        <a:solidFill>
                          <a:srgbClr val="FFFFFF"/>
                        </a:solidFill>
                        <a:ln>
                          <a:noFill/>
                        </a:ln>
                      </wps:spPr>
                      <wps:txbx>
                        <w:txbxContent>
                          <w:p w14:paraId="34FFAAB2" w14:textId="77777777" w:rsidR="00244F7E" w:rsidRDefault="00BF19B4">
                            <w:pPr>
                              <w:spacing w:after="200"/>
                              <w:textDirection w:val="btLr"/>
                            </w:pPr>
                            <w:proofErr w:type="gramStart"/>
                            <w:r>
                              <w:rPr>
                                <w:i/>
                                <w:color w:val="1F497D"/>
                                <w:sz w:val="18"/>
                              </w:rPr>
                              <w:t>Ilustración  SEQ</w:t>
                            </w:r>
                            <w:proofErr w:type="gramEnd"/>
                            <w:r>
                              <w:rPr>
                                <w:i/>
                                <w:color w:val="1F497D"/>
                                <w:sz w:val="18"/>
                              </w:rPr>
                              <w:t xml:space="preserve"> Ilustración \* ARABIC 2</w:t>
                            </w:r>
                          </w:p>
                        </w:txbxContent>
                      </wps:txbx>
                      <wps:bodyPr spcFirstLastPara="1"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rect w14:anchorId="0C7EB0E2" id="Rectángulo 1" o:spid="_x0000_s1027" style="position:absolute;left:0;text-align:left;margin-left:0;margin-top:-8pt;width:451.35pt;height:3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" stroked="f">
                <v:textbox inset="0,0,0,0">
                  <w:txbxContent>
                    <w:p w14:paraId="34FFAAB2" w14:textId="77777777" w:rsidR="00244F7E" w:rsidRDefault="00BF19B4">
                      <w:pPr>
                        <w:spacing w:after="200"/>
                        <w:textDirection w:val="btLr"/>
                      </w:pPr>
                      <w:proofErr w:type="gramStart"/>
                      <w:r>
                        <w:rPr>
                          <w:i/>
                          <w:color w:val="1F497D"/>
                          <w:sz w:val="18"/>
                        </w:rPr>
                        <w:t>Ilustración  SEQ</w:t>
                      </w:r>
                      <w:proofErr w:type="gramEnd"/>
                      <w:r>
                        <w:rPr>
                          <w:i/>
                          <w:color w:val="1F497D"/>
                          <w:sz w:val="18"/>
                        </w:rPr>
                        <w:t xml:space="preserve"> Ilustración \* ARABIC 2</w:t>
                      </w:r>
                    </w:p>
                  </w:txbxContent>
                </v:textbox>
                <w10:wrap type="topAndBottom"/>
              </v:rect>
            </w:pict>
          </mc:Fallback>
        </mc:AlternateContent>
      </w:r>
    </w:p>
    <w:p w14:paraId="07B7F642" w14:textId="5E321BA1" w:rsidR="00244F7E" w:rsidRDefault="00BF19B4" w:rsidP="00CE291C">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Como se puede ver, en ninguna norma estudiada se desarrolla la diferencia que tiene que haber entre quien se dedique a avaluar predios urbanos y aquellas personas que se relacionen con los predios rurales.</w:t>
      </w:r>
    </w:p>
    <w:p w14:paraId="435AD4CB" w14:textId="77777777" w:rsidR="00F76359" w:rsidRPr="001D41A5" w:rsidRDefault="00F76359" w:rsidP="00CE291C">
      <w:pPr>
        <w:spacing w:before="69" w:line="480" w:lineRule="auto"/>
        <w:ind w:firstLine="720"/>
        <w:jc w:val="both"/>
        <w:rPr>
          <w:rFonts w:ascii="Times New Roman" w:eastAsia="Times New Roman" w:hAnsi="Times New Roman" w:cs="Times New Roman"/>
          <w:sz w:val="24"/>
          <w:szCs w:val="24"/>
        </w:rPr>
      </w:pPr>
    </w:p>
    <w:p w14:paraId="3597A2A7" w14:textId="59F555C3" w:rsidR="00244F7E" w:rsidRPr="001D41A5" w:rsidRDefault="00BF19B4" w:rsidP="00E752B9">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Queda dicha la importancia de los inmuebles rurales tanto para el Estado como para las personas. El conocer el valor de estos inmuebles es de vital importancia, no sólo para dictámenes judiciales sino también para el efectivo desarrollo de políticas públicas que tengan en cuenta a todas las personas.</w:t>
      </w:r>
      <w:r w:rsidRPr="001D41A5">
        <w:rPr>
          <w:rFonts w:ascii="Times New Roman" w:eastAsia="Times New Roman" w:hAnsi="Times New Roman" w:cs="Times New Roman"/>
          <w:sz w:val="24"/>
          <w:szCs w:val="24"/>
        </w:rPr>
        <w:tab/>
      </w:r>
    </w:p>
    <w:p w14:paraId="1547A6A7"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ab/>
        <w:t>Una persona que se vaya a dedicar a avaluar predios rurales tiene la obligación de clasificar los suelos, pues en uno rural se encuentra un poco más restringido el desarrollo urbanístico, o los suelos no son aptos para realizar proyectos de construcción de gran escala ya que se afectaría gravemente el ecosistema.</w:t>
      </w:r>
    </w:p>
    <w:p w14:paraId="78D1212B"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09F259EC"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El ecosistema es otro de los factores que un avaluador de predios rurales debe tener en cuenta, debido al acceso a los servicios públicos domiciliarios, y las actividades agropecuarias que se puedan ejecutar, así como la protección al entorno.</w:t>
      </w:r>
    </w:p>
    <w:p w14:paraId="31706A68"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40AEF00C"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Existen zonas protegidas, que poseen ciertos elementos respecto a otras áreas que las hacen de mayor importancia. Estos elementos también tienen que ser tenidas en cuenta por los avaluadores de predios rurales para poder dictaminar el valor del predio, mismos que están determinados y relacionados a su importancia en el acceso a los servicios, a la condición geográfica, cultural o de bienestar social y público.</w:t>
      </w:r>
    </w:p>
    <w:p w14:paraId="123BD527"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5A3DFCAF" w14:textId="3C5F225E" w:rsidR="00025654" w:rsidRPr="001D41A5" w:rsidRDefault="00BF19B4" w:rsidP="00CE291C">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b/>
        <w:t>Lo que proponen los investigadores es que, en los procesos de selección de avaluadores, para aquellas personas que quieran tener en su registro y habilitación la categoría de avaluadores de predios rurales, se les exija también o bien cursos especializados, o bien experiencia realizando este tipo de avalúos, o como en algunos concursos de mérito, que uno de los requisitos pueda reemplazar al otro y dar equilibrio a esa experiencia específica que deben tener los avaluadores de predios rurales, a diferencia de quienes se dedican a avaluar otros inmuebles.</w:t>
      </w:r>
    </w:p>
    <w:p w14:paraId="0E140547" w14:textId="77777777" w:rsidR="00775BF0" w:rsidRPr="001D41A5" w:rsidRDefault="00775BF0" w:rsidP="00775BF0">
      <w:pPr>
        <w:spacing w:before="69" w:line="480" w:lineRule="auto"/>
        <w:jc w:val="both"/>
        <w:rPr>
          <w:rFonts w:ascii="Times New Roman" w:eastAsia="Times New Roman" w:hAnsi="Times New Roman" w:cs="Times New Roman"/>
          <w:sz w:val="24"/>
          <w:szCs w:val="24"/>
        </w:rPr>
      </w:pPr>
    </w:p>
    <w:p w14:paraId="01EFC195" w14:textId="6124AAA9" w:rsidR="00AE41B5" w:rsidRDefault="00BF19B4" w:rsidP="00775BF0">
      <w:pPr>
        <w:pStyle w:val="Ttulo1"/>
        <w:spacing w:line="480" w:lineRule="auto"/>
        <w:ind w:firstLine="720"/>
        <w:rPr>
          <w:rFonts w:ascii="Times New Roman" w:eastAsia="Times New Roman" w:hAnsi="Times New Roman" w:cs="Times New Roman"/>
          <w:b/>
          <w:color w:val="000000"/>
          <w:sz w:val="24"/>
          <w:szCs w:val="24"/>
        </w:rPr>
      </w:pPr>
      <w:bookmarkStart w:id="55" w:name="_heading=h.1ci93xb" w:colFirst="0" w:colLast="0"/>
      <w:bookmarkStart w:id="56" w:name="_Toc151281959"/>
      <w:bookmarkEnd w:id="55"/>
      <w:r w:rsidRPr="001D41A5">
        <w:rPr>
          <w:rFonts w:ascii="Times New Roman" w:eastAsia="Times New Roman" w:hAnsi="Times New Roman" w:cs="Times New Roman"/>
          <w:b/>
          <w:color w:val="000000"/>
          <w:sz w:val="24"/>
          <w:szCs w:val="24"/>
        </w:rPr>
        <w:lastRenderedPageBreak/>
        <w:t>Conclusiones</w:t>
      </w:r>
      <w:bookmarkEnd w:id="56"/>
    </w:p>
    <w:p w14:paraId="56B40EB4" w14:textId="77777777" w:rsidR="00576C4C" w:rsidRPr="00576C4C" w:rsidRDefault="00576C4C" w:rsidP="00576C4C"/>
    <w:p w14:paraId="4B00DBFB" w14:textId="77777777" w:rsidR="00775BF0" w:rsidRPr="001D41A5" w:rsidRDefault="00775BF0" w:rsidP="00775BF0"/>
    <w:p w14:paraId="04D0786E" w14:textId="55CD0EAD" w:rsidR="00AE41B5" w:rsidRPr="001D41A5" w:rsidRDefault="00025654" w:rsidP="00025654">
      <w:pPr>
        <w:spacing w:line="480" w:lineRule="auto"/>
        <w:ind w:firstLine="720"/>
        <w:jc w:val="both"/>
        <w:rPr>
          <w:rFonts w:ascii="Times New Roman" w:hAnsi="Times New Roman" w:cs="Times New Roman"/>
          <w:sz w:val="24"/>
          <w:szCs w:val="24"/>
        </w:rPr>
      </w:pPr>
      <w:r w:rsidRPr="001D41A5">
        <w:rPr>
          <w:rFonts w:ascii="Times New Roman" w:hAnsi="Times New Roman" w:cs="Times New Roman"/>
          <w:sz w:val="24"/>
          <w:szCs w:val="24"/>
        </w:rPr>
        <w:t>Se hace</w:t>
      </w:r>
      <w:r w:rsidR="00AE41B5" w:rsidRPr="001D41A5">
        <w:rPr>
          <w:rFonts w:ascii="Times New Roman" w:hAnsi="Times New Roman" w:cs="Times New Roman"/>
          <w:sz w:val="24"/>
          <w:szCs w:val="24"/>
        </w:rPr>
        <w:t xml:space="preserve"> necesario entonces que las Entidades Reconocidas de </w:t>
      </w:r>
      <w:r w:rsidRPr="001D41A5">
        <w:rPr>
          <w:rFonts w:ascii="Times New Roman" w:hAnsi="Times New Roman" w:cs="Times New Roman"/>
          <w:sz w:val="24"/>
          <w:szCs w:val="24"/>
        </w:rPr>
        <w:t>a</w:t>
      </w:r>
      <w:r w:rsidR="00AE41B5" w:rsidRPr="001D41A5">
        <w:rPr>
          <w:rFonts w:ascii="Times New Roman" w:hAnsi="Times New Roman" w:cs="Times New Roman"/>
          <w:sz w:val="24"/>
          <w:szCs w:val="24"/>
        </w:rPr>
        <w:t xml:space="preserve">uto regulación </w:t>
      </w:r>
      <w:r w:rsidRPr="001D41A5">
        <w:rPr>
          <w:rFonts w:ascii="Times New Roman" w:hAnsi="Times New Roman" w:cs="Times New Roman"/>
          <w:sz w:val="24"/>
          <w:szCs w:val="24"/>
        </w:rPr>
        <w:t>comiencen</w:t>
      </w:r>
      <w:r w:rsidR="00AE41B5" w:rsidRPr="001D41A5">
        <w:rPr>
          <w:rFonts w:ascii="Times New Roman" w:hAnsi="Times New Roman" w:cs="Times New Roman"/>
          <w:sz w:val="24"/>
          <w:szCs w:val="24"/>
        </w:rPr>
        <w:t xml:space="preserve"> con </w:t>
      </w:r>
      <w:r w:rsidRPr="001D41A5">
        <w:rPr>
          <w:rFonts w:ascii="Times New Roman" w:hAnsi="Times New Roman" w:cs="Times New Roman"/>
          <w:sz w:val="24"/>
          <w:szCs w:val="24"/>
        </w:rPr>
        <w:t>el desarrollo</w:t>
      </w:r>
      <w:r w:rsidR="00AE41B5" w:rsidRPr="001D41A5">
        <w:rPr>
          <w:rFonts w:ascii="Times New Roman" w:hAnsi="Times New Roman" w:cs="Times New Roman"/>
          <w:sz w:val="24"/>
          <w:szCs w:val="24"/>
        </w:rPr>
        <w:t xml:space="preserve"> de un plan de estudio responsable, suficiente y profesional en la capacitación de los avaluadores en categoría rural</w:t>
      </w:r>
      <w:r w:rsidRPr="001D41A5">
        <w:rPr>
          <w:rFonts w:ascii="Times New Roman" w:hAnsi="Times New Roman" w:cs="Times New Roman"/>
          <w:sz w:val="24"/>
          <w:szCs w:val="24"/>
        </w:rPr>
        <w:t>.</w:t>
      </w:r>
      <w:r w:rsidR="00AE41B5" w:rsidRPr="001D41A5">
        <w:rPr>
          <w:rFonts w:ascii="Times New Roman" w:hAnsi="Times New Roman" w:cs="Times New Roman"/>
          <w:sz w:val="24"/>
          <w:szCs w:val="24"/>
        </w:rPr>
        <w:t xml:space="preserve"> </w:t>
      </w:r>
      <w:r w:rsidRPr="001D41A5">
        <w:rPr>
          <w:rFonts w:ascii="Times New Roman" w:hAnsi="Times New Roman" w:cs="Times New Roman"/>
          <w:sz w:val="24"/>
          <w:szCs w:val="24"/>
        </w:rPr>
        <w:t>Un plan que contenga</w:t>
      </w:r>
      <w:r w:rsidR="00AE41B5" w:rsidRPr="001D41A5">
        <w:rPr>
          <w:rFonts w:ascii="Times New Roman" w:hAnsi="Times New Roman" w:cs="Times New Roman"/>
          <w:sz w:val="24"/>
          <w:szCs w:val="24"/>
        </w:rPr>
        <w:t xml:space="preserve"> materias competentes y necesarias, con una intensidad horaria que aborde los diferentes temas necesarios; con personal profesional de cada asignatura especializada, para lograr obtener un profesional con todos los conocimientos multidisciplinarios</w:t>
      </w:r>
      <w:r w:rsidRPr="001D41A5">
        <w:rPr>
          <w:rFonts w:ascii="Times New Roman" w:hAnsi="Times New Roman" w:cs="Times New Roman"/>
          <w:sz w:val="24"/>
          <w:szCs w:val="24"/>
        </w:rPr>
        <w:t>. De esta forma se podría</w:t>
      </w:r>
      <w:r w:rsidR="00AE41B5" w:rsidRPr="001D41A5">
        <w:rPr>
          <w:rFonts w:ascii="Times New Roman" w:hAnsi="Times New Roman" w:cs="Times New Roman"/>
          <w:sz w:val="24"/>
          <w:szCs w:val="24"/>
        </w:rPr>
        <w:t xml:space="preserve"> evitar un posible riesgo social, inequidad, injusticia, ineficiencia, restricción del acceso a la propiedad y falta de trasparencia</w:t>
      </w:r>
      <w:r w:rsidRPr="001D41A5">
        <w:rPr>
          <w:rFonts w:ascii="Times New Roman" w:hAnsi="Times New Roman" w:cs="Times New Roman"/>
          <w:sz w:val="24"/>
          <w:szCs w:val="24"/>
        </w:rPr>
        <w:t>.</w:t>
      </w:r>
    </w:p>
    <w:p w14:paraId="3369DC77" w14:textId="77777777" w:rsidR="00244F7E" w:rsidRPr="001D41A5" w:rsidRDefault="00244F7E" w:rsidP="00CE291C">
      <w:pPr>
        <w:spacing w:before="69" w:line="480" w:lineRule="auto"/>
        <w:jc w:val="both"/>
        <w:rPr>
          <w:rFonts w:ascii="Times New Roman" w:eastAsia="Times New Roman" w:hAnsi="Times New Roman" w:cs="Times New Roman"/>
          <w:sz w:val="24"/>
          <w:szCs w:val="24"/>
        </w:rPr>
      </w:pPr>
    </w:p>
    <w:p w14:paraId="7F3B8E7A"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Los bienes inmuebles, la propiedad raíz, continúa siendo considerada uno de los activos e inversiones más importantes para las personas y los Estados, y esa importancia se traduce en una protección legal privilegiada que tienen por medio de textos normativos que no sólo regulan, sino que también ordenan la creación de instituciones y entidades que, de manera organizada, independiente, descentralizada, autónoma y técnica, se encargan de administrar estos importantes activos de las personas, bien sean naturales o jurídicas, y del Estado en su conjunto.</w:t>
      </w:r>
    </w:p>
    <w:p w14:paraId="2AD5E8F0"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6B561A86"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Cuestiones como los impuestos que cobra un Estado y los actos de comercio sobre bienes inmuebles como el arriendo o la compraventa, la actividad inmobiliaria, requieren que el valor del inmueble se pueda determinar y sobre todo actualizar, ya que el precio que se encuentra en unas escrituras públicas o un contrato de compraventa, no se corresponde necesariamente con el valor real.</w:t>
      </w:r>
    </w:p>
    <w:p w14:paraId="614470A0"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19A1A456"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La actividad judicial cuando se trata de demandas o denuncias, en los eventos en los que los procesos culminan con el embargo y secuestro de un bien inmueble, justamente en esa etapa el Juez debe tener presente el valor del bien inmueble, para finalmente ordenar el remate y lograr pagar al deudor o víctima lo que se le deba, fruto de la correcta venta de ese bien que está en proceso.</w:t>
      </w:r>
    </w:p>
    <w:p w14:paraId="692A3488"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132E3594"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Dentro de ese andamiaje normativo e institucional, ha sido el IGAC la entidad que se ha creado y posicionado como referente en temas de regulación, administración y protección de la información sobre inmuebles y tierras, y también todo lo relacionado con su valoración.</w:t>
      </w:r>
    </w:p>
    <w:p w14:paraId="6ECA1F04"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5B14DBC1"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No fue sino hasta la expedición de la Ley 1673 de 2013 que se define el concepto de avalúo inmobiliario y que se incorporaron una serie de términos importantes para comenzar a diferenciar como la valuación, el avalúo corporativo, avaluador, Registro Abierto de Avaluadores, sector inmobiliario, entre otros.</w:t>
      </w:r>
    </w:p>
    <w:p w14:paraId="4A3F6C54"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6F237256" w14:textId="0EA23967" w:rsidR="00244F7E" w:rsidRPr="001D41A5" w:rsidRDefault="00BF19B4" w:rsidP="00F76359">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El marco normativo del avalúo va desde lo consignado en la Carta Política de 1991 sobre el elemento territorial de los Estados, en conjunto con la protección a la propiedad privada; el Código Civil de Colombia con respecto a los tipos de bienes que existen; hasta lo expresado por la Ley 1673 de 2013, que se encuentra aún vigente y que regula hoy en día la actividad del avaluador en Colombia.</w:t>
      </w:r>
    </w:p>
    <w:p w14:paraId="3DE643B4"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La importancia de conocer el valor real de un inmueble no sólo es relevante para las personas que participan del ámbito privado, sino que resulta realmente importante en los procesos de desarrollo de obras públicas, en los cuales es el Estado el que compra los predios, </w:t>
      </w:r>
      <w:r w:rsidRPr="001D41A5">
        <w:rPr>
          <w:rFonts w:ascii="Times New Roman" w:eastAsia="Times New Roman" w:hAnsi="Times New Roman" w:cs="Times New Roman"/>
          <w:sz w:val="24"/>
          <w:szCs w:val="24"/>
        </w:rPr>
        <w:lastRenderedPageBreak/>
        <w:t>sean urbanos o rurales, a los habitantes y campesinos, para la construcción de estas obras sociales.</w:t>
      </w:r>
    </w:p>
    <w:p w14:paraId="45C030F9"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79239F77"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Los inmuebles rurales en muchos elementos se diferencian de los urbanos, como por ejemplo la destinación de la tierra, el POT o EOT del municipio donde esté ubicado, el futuro del municipio y de los usos del suelo, la seguridad, el acceso al predio, entre otros que hacen que finalmente la actividad del avaluador de predios urbanos no sea igual a la de un avaluador que se dedique a predios rurales.</w:t>
      </w:r>
    </w:p>
    <w:p w14:paraId="66A97E5B"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0F615914"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Si la verificación de cualidades académicas y empíricas no se realiza con el detalle suficiente, una persona sin las condiciones específicas necesarias para realizar un avalúo de predios rurales, termina realizando este tipo de </w:t>
      </w:r>
      <w:proofErr w:type="gramStart"/>
      <w:r w:rsidRPr="001D41A5">
        <w:rPr>
          <w:rFonts w:ascii="Times New Roman" w:eastAsia="Times New Roman" w:hAnsi="Times New Roman" w:cs="Times New Roman"/>
          <w:sz w:val="24"/>
          <w:szCs w:val="24"/>
        </w:rPr>
        <w:t>avalúos  no</w:t>
      </w:r>
      <w:proofErr w:type="gramEnd"/>
      <w:r w:rsidRPr="001D41A5">
        <w:rPr>
          <w:rFonts w:ascii="Times New Roman" w:eastAsia="Times New Roman" w:hAnsi="Times New Roman" w:cs="Times New Roman"/>
          <w:sz w:val="24"/>
          <w:szCs w:val="24"/>
        </w:rPr>
        <w:t xml:space="preserve">  sólo para personas  naturales  y jurídicas,  sino  también  para  el  Estado  y  sus necesidades, lo que deriva en un desequilibrio económico derivado de la mala valoración de los predios rurales.</w:t>
      </w:r>
    </w:p>
    <w:p w14:paraId="24A31CF3"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5B25F61C" w14:textId="0080ED1A" w:rsidR="00244F7E" w:rsidRPr="001D41A5" w:rsidRDefault="00BF19B4" w:rsidP="00F76359">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Uno de los ejemplos más claros sobre la importancia de conocer el valor real de un predio rural se está dando en la actualidad en la que la Agencia Nacional de Tierras (ANT) se encuentra realizando devolución de las mismas a campesinos, por lo que resulta realmente importante el valor del activo que se encuentra siendo expropiado para </w:t>
      </w:r>
      <w:proofErr w:type="gramStart"/>
      <w:r w:rsidRPr="001D41A5">
        <w:rPr>
          <w:rFonts w:ascii="Times New Roman" w:eastAsia="Times New Roman" w:hAnsi="Times New Roman" w:cs="Times New Roman"/>
          <w:sz w:val="24"/>
          <w:szCs w:val="24"/>
        </w:rPr>
        <w:t>unos</w:t>
      </w:r>
      <w:proofErr w:type="gramEnd"/>
      <w:r w:rsidRPr="001D41A5">
        <w:rPr>
          <w:rFonts w:ascii="Times New Roman" w:eastAsia="Times New Roman" w:hAnsi="Times New Roman" w:cs="Times New Roman"/>
          <w:sz w:val="24"/>
          <w:szCs w:val="24"/>
        </w:rPr>
        <w:t xml:space="preserve"> pero asignado para otros; en esa asignación el nuevo o verdadero dueño tiene derecho a conocer el valor actual del inmueble.</w:t>
      </w:r>
    </w:p>
    <w:p w14:paraId="5A5F7BB1" w14:textId="77777777"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El avalúo rural entonces se diferencia ampliamente de otros como el comercial, el catastral, el administrativo, el judicial y el denominado auto avalúo, pero esa diferencia </w:t>
      </w:r>
      <w:r w:rsidRPr="001D41A5">
        <w:rPr>
          <w:rFonts w:ascii="Times New Roman" w:eastAsia="Times New Roman" w:hAnsi="Times New Roman" w:cs="Times New Roman"/>
          <w:sz w:val="24"/>
          <w:szCs w:val="24"/>
        </w:rPr>
        <w:lastRenderedPageBreak/>
        <w:t>finalmente no queda determinada en las normativas que crean los requisitos y cualidades que deben cumplir y tener los técnicos y profesionales que se dediquen a uno o a otro.</w:t>
      </w:r>
    </w:p>
    <w:p w14:paraId="1C19283E"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0C299E6E" w14:textId="734FCB71" w:rsidR="00244F7E" w:rsidRPr="001D41A5" w:rsidRDefault="00BF19B4"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Los procesos de selección y registro de los avaluadores en el Registro Nacional de Avaluadores deberían, a consideración de los investigadores, contener más exigencias con respecto a la petición de cursos o diplomados especializados, para que esa diferencia con respecto a un inmueble y otro también se vea reflejada en el profesional que determina </w:t>
      </w:r>
      <w:r w:rsidR="00CE291C" w:rsidRPr="001D41A5">
        <w:rPr>
          <w:rFonts w:ascii="Times New Roman" w:eastAsia="Times New Roman" w:hAnsi="Times New Roman" w:cs="Times New Roman"/>
          <w:sz w:val="24"/>
          <w:szCs w:val="24"/>
        </w:rPr>
        <w:t>cuánto</w:t>
      </w:r>
      <w:r w:rsidRPr="001D41A5">
        <w:rPr>
          <w:rFonts w:ascii="Times New Roman" w:eastAsia="Times New Roman" w:hAnsi="Times New Roman" w:cs="Times New Roman"/>
          <w:sz w:val="24"/>
          <w:szCs w:val="24"/>
        </w:rPr>
        <w:t xml:space="preserve"> vale uno o el otro también.</w:t>
      </w:r>
    </w:p>
    <w:p w14:paraId="39E396F8"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6B238CB8"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4DDA6CDF"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4F8F94EE"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52515A35"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15FE84BD"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60370633"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39F5AD91"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211061C1" w14:textId="0C818530" w:rsidR="00244F7E" w:rsidRDefault="00244F7E" w:rsidP="00025654">
      <w:pPr>
        <w:spacing w:before="69" w:line="480" w:lineRule="auto"/>
        <w:ind w:firstLine="720"/>
        <w:jc w:val="both"/>
        <w:rPr>
          <w:rFonts w:ascii="Times New Roman" w:eastAsia="Times New Roman" w:hAnsi="Times New Roman" w:cs="Times New Roman"/>
          <w:sz w:val="24"/>
          <w:szCs w:val="24"/>
        </w:rPr>
      </w:pPr>
    </w:p>
    <w:p w14:paraId="5FDF47E5" w14:textId="13D604A5" w:rsidR="004B5D17" w:rsidRDefault="004B5D17" w:rsidP="00025654">
      <w:pPr>
        <w:spacing w:before="69" w:line="480" w:lineRule="auto"/>
        <w:ind w:firstLine="720"/>
        <w:jc w:val="both"/>
        <w:rPr>
          <w:rFonts w:ascii="Times New Roman" w:eastAsia="Times New Roman" w:hAnsi="Times New Roman" w:cs="Times New Roman"/>
          <w:sz w:val="24"/>
          <w:szCs w:val="24"/>
        </w:rPr>
      </w:pPr>
    </w:p>
    <w:p w14:paraId="147CE95D" w14:textId="77777777" w:rsidR="004B5D17" w:rsidRPr="001D41A5" w:rsidRDefault="004B5D17" w:rsidP="00025654">
      <w:pPr>
        <w:spacing w:before="69" w:line="480" w:lineRule="auto"/>
        <w:ind w:firstLine="720"/>
        <w:jc w:val="both"/>
        <w:rPr>
          <w:rFonts w:ascii="Times New Roman" w:eastAsia="Times New Roman" w:hAnsi="Times New Roman" w:cs="Times New Roman"/>
          <w:sz w:val="24"/>
          <w:szCs w:val="24"/>
        </w:rPr>
      </w:pPr>
    </w:p>
    <w:p w14:paraId="58158E1E" w14:textId="6137F9DA" w:rsidR="00025654" w:rsidRPr="001D41A5" w:rsidRDefault="00025654" w:rsidP="005A707A">
      <w:pPr>
        <w:spacing w:before="69" w:line="480" w:lineRule="auto"/>
        <w:jc w:val="both"/>
        <w:rPr>
          <w:rFonts w:ascii="Times New Roman" w:eastAsia="Times New Roman" w:hAnsi="Times New Roman" w:cs="Times New Roman"/>
          <w:sz w:val="24"/>
          <w:szCs w:val="24"/>
        </w:rPr>
      </w:pPr>
    </w:p>
    <w:p w14:paraId="3B790D71" w14:textId="77777777" w:rsidR="005A707A" w:rsidRPr="001D41A5" w:rsidRDefault="005A707A" w:rsidP="005A707A">
      <w:pPr>
        <w:spacing w:before="69" w:line="480" w:lineRule="auto"/>
        <w:jc w:val="both"/>
        <w:rPr>
          <w:rFonts w:ascii="Times New Roman" w:eastAsia="Times New Roman" w:hAnsi="Times New Roman" w:cs="Times New Roman"/>
          <w:sz w:val="24"/>
          <w:szCs w:val="24"/>
        </w:rPr>
      </w:pPr>
    </w:p>
    <w:p w14:paraId="42656DAE" w14:textId="77777777" w:rsidR="00025654" w:rsidRPr="001D41A5" w:rsidRDefault="00025654" w:rsidP="00025654">
      <w:pPr>
        <w:spacing w:before="69" w:line="480" w:lineRule="auto"/>
        <w:ind w:firstLine="720"/>
        <w:jc w:val="both"/>
        <w:rPr>
          <w:rFonts w:ascii="Times New Roman" w:eastAsia="Times New Roman" w:hAnsi="Times New Roman" w:cs="Times New Roman"/>
          <w:sz w:val="24"/>
          <w:szCs w:val="24"/>
        </w:rPr>
      </w:pPr>
    </w:p>
    <w:p w14:paraId="4FE293C4" w14:textId="77777777" w:rsidR="00722163" w:rsidRPr="001D41A5" w:rsidRDefault="00722163" w:rsidP="00025654">
      <w:pPr>
        <w:pStyle w:val="Ttulo1"/>
        <w:spacing w:line="480" w:lineRule="auto"/>
        <w:ind w:firstLine="720"/>
        <w:jc w:val="center"/>
        <w:rPr>
          <w:rFonts w:ascii="Times New Roman" w:eastAsia="Times New Roman" w:hAnsi="Times New Roman" w:cs="Times New Roman"/>
          <w:b/>
          <w:color w:val="000000"/>
          <w:sz w:val="24"/>
          <w:szCs w:val="24"/>
        </w:rPr>
      </w:pPr>
      <w:bookmarkStart w:id="57" w:name="_Toc151281960"/>
      <w:r w:rsidRPr="001D41A5">
        <w:rPr>
          <w:rFonts w:ascii="Times New Roman" w:eastAsia="Times New Roman" w:hAnsi="Times New Roman" w:cs="Times New Roman"/>
          <w:b/>
          <w:color w:val="000000"/>
          <w:sz w:val="24"/>
          <w:szCs w:val="24"/>
        </w:rPr>
        <w:lastRenderedPageBreak/>
        <w:t>Tabla de ilustraciones</w:t>
      </w:r>
      <w:bookmarkEnd w:id="57"/>
    </w:p>
    <w:p w14:paraId="424BA091" w14:textId="77777777" w:rsidR="00722163" w:rsidRPr="001D41A5" w:rsidRDefault="00722163" w:rsidP="00025654">
      <w:pPr>
        <w:spacing w:before="69" w:line="480" w:lineRule="auto"/>
        <w:ind w:firstLine="720"/>
        <w:jc w:val="center"/>
        <w:rPr>
          <w:rFonts w:ascii="Times New Roman" w:eastAsia="Times New Roman" w:hAnsi="Times New Roman" w:cs="Times New Roman"/>
          <w:b/>
          <w:sz w:val="24"/>
          <w:szCs w:val="24"/>
        </w:rPr>
      </w:pPr>
    </w:p>
    <w:sdt>
      <w:sdtPr>
        <w:rPr>
          <w:rFonts w:ascii="Times New Roman" w:hAnsi="Times New Roman" w:cs="Times New Roman"/>
          <w:sz w:val="24"/>
          <w:szCs w:val="24"/>
        </w:rPr>
        <w:id w:val="-96173388"/>
        <w:docPartObj>
          <w:docPartGallery w:val="Table of Contents"/>
          <w:docPartUnique/>
        </w:docPartObj>
      </w:sdtPr>
      <w:sdtContent>
        <w:p w14:paraId="6A5BB6C3" w14:textId="06EA4990" w:rsidR="00722163" w:rsidRPr="001D41A5" w:rsidRDefault="00722163" w:rsidP="00025654">
          <w:pPr>
            <w:pBdr>
              <w:top w:val="nil"/>
              <w:left w:val="nil"/>
              <w:bottom w:val="nil"/>
              <w:right w:val="nil"/>
              <w:between w:val="nil"/>
            </w:pBdr>
            <w:tabs>
              <w:tab w:val="right" w:pos="9002"/>
            </w:tabs>
            <w:spacing w:line="480" w:lineRule="auto"/>
            <w:ind w:firstLine="720"/>
            <w:rPr>
              <w:rFonts w:ascii="Times New Roman" w:eastAsia="Calibri" w:hAnsi="Times New Roman" w:cs="Times New Roman"/>
              <w:sz w:val="24"/>
              <w:szCs w:val="24"/>
            </w:rPr>
          </w:pPr>
          <w:r w:rsidRPr="001D41A5">
            <w:rPr>
              <w:rFonts w:ascii="Times New Roman" w:hAnsi="Times New Roman" w:cs="Times New Roman"/>
              <w:sz w:val="24"/>
              <w:szCs w:val="24"/>
            </w:rPr>
            <w:fldChar w:fldCharType="begin"/>
          </w:r>
          <w:r w:rsidRPr="001D41A5">
            <w:rPr>
              <w:rFonts w:ascii="Times New Roman" w:hAnsi="Times New Roman" w:cs="Times New Roman"/>
              <w:sz w:val="24"/>
              <w:szCs w:val="24"/>
            </w:rPr>
            <w:instrText xml:space="preserve"> TOC \h \u \z \t "Heading 1,1,Heading 2,2,Heading 3,3,Heading 4,4,Heading 5,5,Heading 6,6,"</w:instrText>
          </w:r>
          <w:r w:rsidRPr="001D41A5">
            <w:rPr>
              <w:rFonts w:ascii="Times New Roman" w:hAnsi="Times New Roman" w:cs="Times New Roman"/>
              <w:sz w:val="24"/>
              <w:szCs w:val="24"/>
            </w:rPr>
            <w:fldChar w:fldCharType="separate"/>
          </w:r>
          <w:hyperlink r:id="rId10">
            <w:r w:rsidRPr="001D41A5">
              <w:rPr>
                <w:rFonts w:ascii="Times New Roman" w:hAnsi="Times New Roman" w:cs="Times New Roman"/>
                <w:sz w:val="24"/>
                <w:szCs w:val="24"/>
              </w:rPr>
              <w:t>Ilustración 1</w:t>
            </w:r>
            <w:r w:rsidRPr="001D41A5">
              <w:rPr>
                <w:rFonts w:ascii="Times New Roman" w:hAnsi="Times New Roman" w:cs="Times New Roman"/>
                <w:sz w:val="24"/>
                <w:szCs w:val="24"/>
              </w:rPr>
              <w:tab/>
            </w:r>
          </w:hyperlink>
          <w:r w:rsidR="008719E9" w:rsidRPr="001D41A5">
            <w:rPr>
              <w:rFonts w:ascii="Times New Roman" w:hAnsi="Times New Roman" w:cs="Times New Roman"/>
              <w:sz w:val="24"/>
              <w:szCs w:val="24"/>
            </w:rPr>
            <w:t>15</w:t>
          </w:r>
        </w:p>
        <w:p w14:paraId="5B7F39BE" w14:textId="52EA43F2" w:rsidR="00722163" w:rsidRPr="001D41A5" w:rsidRDefault="00000000" w:rsidP="00025654">
          <w:pPr>
            <w:pBdr>
              <w:top w:val="nil"/>
              <w:left w:val="nil"/>
              <w:bottom w:val="nil"/>
              <w:right w:val="nil"/>
              <w:between w:val="nil"/>
            </w:pBdr>
            <w:tabs>
              <w:tab w:val="right" w:pos="9002"/>
            </w:tabs>
            <w:spacing w:line="480" w:lineRule="auto"/>
            <w:ind w:firstLine="720"/>
            <w:rPr>
              <w:rFonts w:ascii="Times New Roman" w:eastAsia="Calibri" w:hAnsi="Times New Roman" w:cs="Times New Roman"/>
              <w:sz w:val="24"/>
              <w:szCs w:val="24"/>
            </w:rPr>
          </w:pPr>
          <w:hyperlink r:id="rId11">
            <w:r w:rsidR="00722163" w:rsidRPr="001D41A5">
              <w:rPr>
                <w:rFonts w:ascii="Times New Roman" w:hAnsi="Times New Roman" w:cs="Times New Roman"/>
                <w:sz w:val="24"/>
                <w:szCs w:val="24"/>
              </w:rPr>
              <w:t>Ilustración 2</w:t>
            </w:r>
            <w:r w:rsidR="00722163" w:rsidRPr="001D41A5">
              <w:rPr>
                <w:rFonts w:ascii="Times New Roman" w:hAnsi="Times New Roman" w:cs="Times New Roman"/>
                <w:sz w:val="24"/>
                <w:szCs w:val="24"/>
              </w:rPr>
              <w:tab/>
            </w:r>
          </w:hyperlink>
          <w:r w:rsidR="008719E9" w:rsidRPr="001D41A5">
            <w:rPr>
              <w:rFonts w:ascii="Times New Roman" w:hAnsi="Times New Roman" w:cs="Times New Roman"/>
              <w:sz w:val="24"/>
              <w:szCs w:val="24"/>
            </w:rPr>
            <w:t>51</w:t>
          </w:r>
        </w:p>
        <w:p w14:paraId="3AD7253C" w14:textId="77777777" w:rsidR="00722163" w:rsidRPr="001D41A5" w:rsidRDefault="00722163" w:rsidP="00025654">
          <w:pPr>
            <w:spacing w:before="69" w:line="480" w:lineRule="auto"/>
            <w:ind w:firstLine="720"/>
            <w:jc w:val="both"/>
            <w:rPr>
              <w:rFonts w:ascii="Times New Roman" w:eastAsia="Times New Roman" w:hAnsi="Times New Roman" w:cs="Times New Roman"/>
              <w:sz w:val="24"/>
              <w:szCs w:val="24"/>
            </w:rPr>
          </w:pPr>
          <w:r w:rsidRPr="001D41A5">
            <w:rPr>
              <w:rFonts w:ascii="Times New Roman" w:hAnsi="Times New Roman" w:cs="Times New Roman"/>
              <w:sz w:val="24"/>
              <w:szCs w:val="24"/>
            </w:rPr>
            <w:fldChar w:fldCharType="end"/>
          </w:r>
        </w:p>
      </w:sdtContent>
    </w:sdt>
    <w:p w14:paraId="21F88013"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555617C4"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62DAA340" w14:textId="77777777"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78B5C169" w14:textId="7A281CCE" w:rsidR="00244F7E" w:rsidRPr="001D41A5" w:rsidRDefault="00244F7E" w:rsidP="00025654">
      <w:pPr>
        <w:spacing w:before="69" w:line="480" w:lineRule="auto"/>
        <w:ind w:firstLine="720"/>
        <w:jc w:val="both"/>
        <w:rPr>
          <w:rFonts w:ascii="Times New Roman" w:eastAsia="Times New Roman" w:hAnsi="Times New Roman" w:cs="Times New Roman"/>
          <w:sz w:val="24"/>
          <w:szCs w:val="24"/>
        </w:rPr>
      </w:pPr>
    </w:p>
    <w:p w14:paraId="6FE612D4" w14:textId="14D321A6" w:rsidR="00025654" w:rsidRPr="001D41A5" w:rsidRDefault="00025654" w:rsidP="00025654">
      <w:pPr>
        <w:spacing w:before="69" w:line="480" w:lineRule="auto"/>
        <w:ind w:firstLine="720"/>
        <w:jc w:val="both"/>
        <w:rPr>
          <w:rFonts w:ascii="Times New Roman" w:eastAsia="Times New Roman" w:hAnsi="Times New Roman" w:cs="Times New Roman"/>
          <w:sz w:val="24"/>
          <w:szCs w:val="24"/>
        </w:rPr>
      </w:pPr>
    </w:p>
    <w:p w14:paraId="02BE9056" w14:textId="6610854A" w:rsidR="00025654" w:rsidRPr="001D41A5" w:rsidRDefault="00025654" w:rsidP="00025654">
      <w:pPr>
        <w:spacing w:before="69" w:line="480" w:lineRule="auto"/>
        <w:ind w:firstLine="720"/>
        <w:jc w:val="both"/>
        <w:rPr>
          <w:rFonts w:ascii="Times New Roman" w:eastAsia="Times New Roman" w:hAnsi="Times New Roman" w:cs="Times New Roman"/>
          <w:sz w:val="24"/>
          <w:szCs w:val="24"/>
        </w:rPr>
      </w:pPr>
    </w:p>
    <w:p w14:paraId="22D66610" w14:textId="7EC3FE8D" w:rsidR="00025654" w:rsidRPr="001D41A5" w:rsidRDefault="00025654" w:rsidP="00025654">
      <w:pPr>
        <w:spacing w:before="69" w:line="480" w:lineRule="auto"/>
        <w:ind w:firstLine="720"/>
        <w:jc w:val="both"/>
        <w:rPr>
          <w:rFonts w:ascii="Times New Roman" w:eastAsia="Times New Roman" w:hAnsi="Times New Roman" w:cs="Times New Roman"/>
          <w:sz w:val="24"/>
          <w:szCs w:val="24"/>
        </w:rPr>
      </w:pPr>
    </w:p>
    <w:p w14:paraId="40096BC5" w14:textId="7790FE61" w:rsidR="00025654" w:rsidRPr="001D41A5" w:rsidRDefault="00025654" w:rsidP="00025654">
      <w:pPr>
        <w:spacing w:before="69" w:line="480" w:lineRule="auto"/>
        <w:ind w:firstLine="720"/>
        <w:jc w:val="both"/>
        <w:rPr>
          <w:rFonts w:ascii="Times New Roman" w:eastAsia="Times New Roman" w:hAnsi="Times New Roman" w:cs="Times New Roman"/>
          <w:sz w:val="24"/>
          <w:szCs w:val="24"/>
        </w:rPr>
      </w:pPr>
    </w:p>
    <w:p w14:paraId="107BB54B" w14:textId="064F0DFA" w:rsidR="00025654" w:rsidRPr="001D41A5" w:rsidRDefault="00025654" w:rsidP="00025654">
      <w:pPr>
        <w:spacing w:before="69" w:line="480" w:lineRule="auto"/>
        <w:ind w:firstLine="720"/>
        <w:jc w:val="both"/>
        <w:rPr>
          <w:rFonts w:ascii="Times New Roman" w:eastAsia="Times New Roman" w:hAnsi="Times New Roman" w:cs="Times New Roman"/>
          <w:sz w:val="24"/>
          <w:szCs w:val="24"/>
        </w:rPr>
      </w:pPr>
    </w:p>
    <w:p w14:paraId="21D7E552" w14:textId="69A8818F" w:rsidR="00025654" w:rsidRPr="001D41A5" w:rsidRDefault="00025654" w:rsidP="00025654">
      <w:pPr>
        <w:spacing w:before="69" w:line="480" w:lineRule="auto"/>
        <w:ind w:firstLine="720"/>
        <w:jc w:val="both"/>
        <w:rPr>
          <w:rFonts w:ascii="Times New Roman" w:eastAsia="Times New Roman" w:hAnsi="Times New Roman" w:cs="Times New Roman"/>
          <w:sz w:val="24"/>
          <w:szCs w:val="24"/>
        </w:rPr>
      </w:pPr>
    </w:p>
    <w:p w14:paraId="007F2AC9" w14:textId="171149D6" w:rsidR="00025654" w:rsidRDefault="00025654" w:rsidP="00025654">
      <w:pPr>
        <w:spacing w:before="69" w:line="480" w:lineRule="auto"/>
        <w:ind w:firstLine="720"/>
        <w:jc w:val="both"/>
        <w:rPr>
          <w:rFonts w:ascii="Times New Roman" w:eastAsia="Times New Roman" w:hAnsi="Times New Roman" w:cs="Times New Roman"/>
          <w:sz w:val="24"/>
          <w:szCs w:val="24"/>
        </w:rPr>
      </w:pPr>
    </w:p>
    <w:p w14:paraId="0D4A614D" w14:textId="7983702E" w:rsidR="004B5D17" w:rsidRDefault="004B5D17" w:rsidP="00025654">
      <w:pPr>
        <w:spacing w:before="69" w:line="480" w:lineRule="auto"/>
        <w:ind w:firstLine="720"/>
        <w:jc w:val="both"/>
        <w:rPr>
          <w:rFonts w:ascii="Times New Roman" w:eastAsia="Times New Roman" w:hAnsi="Times New Roman" w:cs="Times New Roman"/>
          <w:sz w:val="24"/>
          <w:szCs w:val="24"/>
        </w:rPr>
      </w:pPr>
    </w:p>
    <w:p w14:paraId="4273912B" w14:textId="6694ED38" w:rsidR="004B5D17" w:rsidRDefault="004B5D17" w:rsidP="00025654">
      <w:pPr>
        <w:spacing w:before="69" w:line="480" w:lineRule="auto"/>
        <w:ind w:firstLine="720"/>
        <w:jc w:val="both"/>
        <w:rPr>
          <w:rFonts w:ascii="Times New Roman" w:eastAsia="Times New Roman" w:hAnsi="Times New Roman" w:cs="Times New Roman"/>
          <w:sz w:val="24"/>
          <w:szCs w:val="24"/>
        </w:rPr>
      </w:pPr>
    </w:p>
    <w:p w14:paraId="7A5D6BEF" w14:textId="6D02B3EC" w:rsidR="004B5D17" w:rsidRDefault="004B5D17" w:rsidP="00025654">
      <w:pPr>
        <w:spacing w:before="69" w:line="480" w:lineRule="auto"/>
        <w:ind w:firstLine="720"/>
        <w:jc w:val="both"/>
        <w:rPr>
          <w:rFonts w:ascii="Times New Roman" w:eastAsia="Times New Roman" w:hAnsi="Times New Roman" w:cs="Times New Roman"/>
          <w:sz w:val="24"/>
          <w:szCs w:val="24"/>
        </w:rPr>
      </w:pPr>
    </w:p>
    <w:p w14:paraId="1BBD4791" w14:textId="77777777" w:rsidR="004B5D17" w:rsidRPr="001D41A5" w:rsidRDefault="004B5D17" w:rsidP="00025654">
      <w:pPr>
        <w:spacing w:before="69" w:line="480" w:lineRule="auto"/>
        <w:ind w:firstLine="720"/>
        <w:jc w:val="both"/>
        <w:rPr>
          <w:rFonts w:ascii="Times New Roman" w:eastAsia="Times New Roman" w:hAnsi="Times New Roman" w:cs="Times New Roman"/>
          <w:sz w:val="24"/>
          <w:szCs w:val="24"/>
        </w:rPr>
      </w:pPr>
    </w:p>
    <w:p w14:paraId="322B2752" w14:textId="7DFC46F4" w:rsidR="00025654" w:rsidRPr="001D41A5" w:rsidRDefault="00025654" w:rsidP="00025654">
      <w:pPr>
        <w:spacing w:before="69" w:line="480" w:lineRule="auto"/>
        <w:ind w:firstLine="720"/>
        <w:jc w:val="both"/>
        <w:rPr>
          <w:rFonts w:ascii="Times New Roman" w:eastAsia="Times New Roman" w:hAnsi="Times New Roman" w:cs="Times New Roman"/>
          <w:sz w:val="24"/>
          <w:szCs w:val="24"/>
        </w:rPr>
      </w:pPr>
    </w:p>
    <w:p w14:paraId="53FE5B56" w14:textId="77777777" w:rsidR="000B3E8D" w:rsidRPr="001D41A5" w:rsidRDefault="000B3E8D" w:rsidP="000B3E8D">
      <w:pPr>
        <w:spacing w:before="69" w:line="480" w:lineRule="auto"/>
        <w:jc w:val="both"/>
        <w:rPr>
          <w:rFonts w:ascii="Times New Roman" w:eastAsia="Times New Roman" w:hAnsi="Times New Roman" w:cs="Times New Roman"/>
          <w:sz w:val="24"/>
          <w:szCs w:val="24"/>
        </w:rPr>
      </w:pPr>
    </w:p>
    <w:p w14:paraId="6FC9E050" w14:textId="166825AE" w:rsidR="00244F7E" w:rsidRPr="001D41A5" w:rsidRDefault="000B3E8D" w:rsidP="000B3E8D">
      <w:pPr>
        <w:pStyle w:val="Ttulo1"/>
        <w:spacing w:line="480" w:lineRule="auto"/>
        <w:ind w:firstLine="720"/>
        <w:rPr>
          <w:rFonts w:ascii="Times New Roman" w:eastAsia="Times New Roman" w:hAnsi="Times New Roman" w:cs="Times New Roman"/>
          <w:b/>
          <w:color w:val="000000"/>
          <w:sz w:val="24"/>
          <w:szCs w:val="24"/>
        </w:rPr>
      </w:pPr>
      <w:bookmarkStart w:id="58" w:name="_heading=h.2bn6wsx" w:colFirst="0" w:colLast="0"/>
      <w:bookmarkStart w:id="59" w:name="_Toc151281961"/>
      <w:bookmarkEnd w:id="58"/>
      <w:r w:rsidRPr="001D41A5">
        <w:rPr>
          <w:rFonts w:ascii="Times New Roman" w:eastAsia="Times New Roman" w:hAnsi="Times New Roman" w:cs="Times New Roman"/>
          <w:b/>
          <w:color w:val="000000"/>
          <w:sz w:val="24"/>
          <w:szCs w:val="24"/>
        </w:rPr>
        <w:lastRenderedPageBreak/>
        <w:t>Re</w:t>
      </w:r>
      <w:r w:rsidR="00BF19B4" w:rsidRPr="001D41A5">
        <w:rPr>
          <w:rFonts w:ascii="Times New Roman" w:eastAsia="Times New Roman" w:hAnsi="Times New Roman" w:cs="Times New Roman"/>
          <w:b/>
          <w:color w:val="000000"/>
          <w:sz w:val="24"/>
          <w:szCs w:val="24"/>
        </w:rPr>
        <w:t>ferencias</w:t>
      </w:r>
      <w:bookmarkEnd w:id="59"/>
    </w:p>
    <w:p w14:paraId="2EAF50FA" w14:textId="77777777" w:rsidR="00244F7E" w:rsidRPr="001D41A5" w:rsidRDefault="00244F7E" w:rsidP="00025654">
      <w:pPr>
        <w:spacing w:line="480" w:lineRule="auto"/>
        <w:ind w:firstLine="720"/>
        <w:rPr>
          <w:rFonts w:ascii="Times New Roman" w:hAnsi="Times New Roman" w:cs="Times New Roman"/>
          <w:sz w:val="24"/>
          <w:szCs w:val="24"/>
        </w:rPr>
      </w:pPr>
    </w:p>
    <w:p w14:paraId="16C260AA"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Agencia para la Reincorporación y la Normalización - ARN. (2020). Agencia para la Reincorporación y la Normalización - ARN. Obtenido de Ruta de acceso a tierras: https://www.reincorporacion.gov.co/es/reincorporacion/Paginas/Ruta-de-acceso-a-tierras.aspx</w:t>
      </w:r>
    </w:p>
    <w:p w14:paraId="3A030511"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(1873). Ley 84 de 1873. Bogotá D.C.: Congreso de la República de Colombia.</w:t>
      </w:r>
    </w:p>
    <w:p w14:paraId="20E63691"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(1989). Ley 9 de 1989. Bogotá D.C.: Congreso de la República de Colombia.</w:t>
      </w:r>
    </w:p>
    <w:p w14:paraId="3AC826E7"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(1990). Ley 44 de 1990. Bogotá D.C.: Congreso de la República de Colombia.</w:t>
      </w:r>
    </w:p>
    <w:p w14:paraId="2B8937AC"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(1991). Constitución Política de Colombia. Bogotá D.C.: Congreso de la República de Colombia.</w:t>
      </w:r>
    </w:p>
    <w:p w14:paraId="4A298D76"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(1995). Ley 223 de 1995. Bogotá D.C.: Congreso de la República de Colombia.</w:t>
      </w:r>
    </w:p>
    <w:p w14:paraId="3724C8C0"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(1997). Ley 388 de 1997. Bogotá D.C.: Congreso de la República de Colombia.</w:t>
      </w:r>
    </w:p>
    <w:p w14:paraId="19364246"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(1999). Ley 510 de 1999. Bogotá D.C.: Congreso de la República de Colombia.</w:t>
      </w:r>
    </w:p>
    <w:p w14:paraId="519926B5"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(1999). Ley 546 de 1999. Bogotá D.C.: Congreso de la República de Colombia.</w:t>
      </w:r>
    </w:p>
    <w:p w14:paraId="7B6EDF31"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(1999). Ley 550 de 1999. Bogotá D.C.: Congreso de la República de Colombia.</w:t>
      </w:r>
    </w:p>
    <w:p w14:paraId="67755B27"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Congreso de la República de Colombia. (200). Ley 794 de 2003. Congreso de la República de Colombia.</w:t>
      </w:r>
    </w:p>
    <w:p w14:paraId="1C36C6DB"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(2003). Ley 794 de 2003. Bogotá D.C.: Congreso de la República de Colombia.</w:t>
      </w:r>
    </w:p>
    <w:p w14:paraId="7C77714F"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(2012). Ley 1564 de 2012. Bogotá D.C.: Congreso de la República de Colombia.</w:t>
      </w:r>
    </w:p>
    <w:p w14:paraId="0D42D4EB"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Congreso de la República de Colombia. (2013). Ley 1673 de 2013. Bogotá D.C.: Congreso de la República de Colombia.</w:t>
      </w:r>
    </w:p>
    <w:p w14:paraId="57EF0087"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Consejo Superior de la Judicatura. (2002). Acuerdo 1518 de 2002. Bogotá D.C.: Consejo Superior de la Judicatura.</w:t>
      </w:r>
    </w:p>
    <w:p w14:paraId="06F42DFD"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Corte Constitucional de Colombia. (1996). Sentencia de Constitucionalidad C-492 de 1996. Bogotá D.C.: Corte Constitucional de Colombia.</w:t>
      </w:r>
    </w:p>
    <w:p w14:paraId="6094E873"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Corte Constitucional de Colombia. (2000). Sentencia de Constitucionalidad C-1265 del 2000. Bogotá D.C.: Corte Constitucional de Colombia.</w:t>
      </w:r>
    </w:p>
    <w:p w14:paraId="4BA65DB1"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Instituto Geográfico Agustín Codazzi. (1988). Resolución 2555 de 1988. Bogotá D.C.: Instituto Geográfico Agustín Codazzi.</w:t>
      </w:r>
    </w:p>
    <w:p w14:paraId="486527F1"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Instituto Geográfico Agustín Codazzi. (1998). Resolución 762 de 1998. Bogotá D.C.: Instituto Geográfico Agustín Codazzi.</w:t>
      </w:r>
    </w:p>
    <w:p w14:paraId="6BBA1DD1"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Instituto Geográfico Agustín Codazzi. (2008). Resolución 620 de 2008. Bogotá D.C.</w:t>
      </w:r>
    </w:p>
    <w:p w14:paraId="5E16CFE3"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Instituto Geográfico Agustín Codazzi. (20 de </w:t>
      </w:r>
      <w:proofErr w:type="gramStart"/>
      <w:r w:rsidRPr="001D41A5">
        <w:rPr>
          <w:rFonts w:ascii="Times New Roman" w:eastAsia="Times New Roman" w:hAnsi="Times New Roman" w:cs="Times New Roman"/>
          <w:sz w:val="24"/>
          <w:szCs w:val="24"/>
        </w:rPr>
        <w:t>Mayo</w:t>
      </w:r>
      <w:proofErr w:type="gramEnd"/>
      <w:r w:rsidRPr="001D41A5">
        <w:rPr>
          <w:rFonts w:ascii="Times New Roman" w:eastAsia="Times New Roman" w:hAnsi="Times New Roman" w:cs="Times New Roman"/>
          <w:sz w:val="24"/>
          <w:szCs w:val="24"/>
        </w:rPr>
        <w:t xml:space="preserve"> de 2023). Instituto Geográfico Agustín Codazzi. Obtenido de Reseña Histórica: https://www.igac.gov.co/es/contenido/resena-historica</w:t>
      </w:r>
    </w:p>
    <w:p w14:paraId="2C322623"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lastRenderedPageBreak/>
        <w:t>Peñuela, W. O. (2014). De los avalúos inmobiliarios en Colombia un estudio sobre la incongruencia en sus elementos orientadores y los efectos en la seguridad jurídica. Bogotá D.C.: Universidad Católica de Colombia.</w:t>
      </w:r>
    </w:p>
    <w:p w14:paraId="1AEDCB0F"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 xml:space="preserve">Presidencia de la República. (1998). Decreto 1420 de </w:t>
      </w:r>
      <w:proofErr w:type="gramStart"/>
      <w:r w:rsidRPr="001D41A5">
        <w:rPr>
          <w:rFonts w:ascii="Times New Roman" w:eastAsia="Times New Roman" w:hAnsi="Times New Roman" w:cs="Times New Roman"/>
          <w:sz w:val="24"/>
          <w:szCs w:val="24"/>
        </w:rPr>
        <w:t>1998 .</w:t>
      </w:r>
      <w:proofErr w:type="gramEnd"/>
      <w:r w:rsidRPr="001D41A5">
        <w:rPr>
          <w:rFonts w:ascii="Times New Roman" w:eastAsia="Times New Roman" w:hAnsi="Times New Roman" w:cs="Times New Roman"/>
          <w:sz w:val="24"/>
          <w:szCs w:val="24"/>
        </w:rPr>
        <w:t xml:space="preserve"> Bogotá D.C.: Presidencia de la República.</w:t>
      </w:r>
    </w:p>
    <w:p w14:paraId="2F93B6B9"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Presidencia de la República de Colombia. (1995). Decreto 2150 de 1995. Bogotá D.C.: Presidencia de la República de Colombia.</w:t>
      </w:r>
    </w:p>
    <w:p w14:paraId="50D59A7E"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Presidencia de la República de Colombia. (2000). Decreto 422 de 2000. Bogotá D.C.: Presidencia de la República de Colombia.</w:t>
      </w:r>
    </w:p>
    <w:p w14:paraId="2D94B1F6"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Real Academia Española de la Lengua. (2023). Real Academia Española de la Lengua. Obtenido de Real Academia Española de la Lengua: https://dle.rae.es/valorar#Fz7TSTu</w:t>
      </w:r>
    </w:p>
    <w:p w14:paraId="3C7BEA35" w14:textId="77777777" w:rsidR="00244F7E" w:rsidRPr="001D41A5"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Superintendencia de Industria y Comercio. (2000). Resolución 22639 del 2000. Bogotá D.C.: Superintendencia de Industria y Comercio.</w:t>
      </w:r>
    </w:p>
    <w:p w14:paraId="78D4C3CC" w14:textId="77777777" w:rsidR="00244F7E" w:rsidRPr="00025654" w:rsidRDefault="00BF19B4" w:rsidP="00025654">
      <w:pPr>
        <w:pBdr>
          <w:top w:val="nil"/>
          <w:left w:val="nil"/>
          <w:bottom w:val="nil"/>
          <w:right w:val="nil"/>
          <w:between w:val="nil"/>
        </w:pBdr>
        <w:spacing w:line="480" w:lineRule="auto"/>
        <w:ind w:left="720" w:firstLine="720"/>
        <w:rPr>
          <w:rFonts w:ascii="Times New Roman" w:eastAsia="Times New Roman" w:hAnsi="Times New Roman" w:cs="Times New Roman"/>
          <w:sz w:val="24"/>
          <w:szCs w:val="24"/>
        </w:rPr>
      </w:pPr>
      <w:r w:rsidRPr="001D41A5">
        <w:rPr>
          <w:rFonts w:ascii="Times New Roman" w:eastAsia="Times New Roman" w:hAnsi="Times New Roman" w:cs="Times New Roman"/>
          <w:sz w:val="24"/>
          <w:szCs w:val="24"/>
        </w:rPr>
        <w:t>Superintendencia de Industria y Comercio. (2001). Resolución 13314 del 2001. Bogotá D.C.: Superintendencia de Industria y Comercio.</w:t>
      </w:r>
    </w:p>
    <w:p w14:paraId="1568736E" w14:textId="77777777" w:rsidR="00244F7E" w:rsidRPr="00025654" w:rsidRDefault="00244F7E" w:rsidP="00025654">
      <w:pPr>
        <w:spacing w:line="480" w:lineRule="auto"/>
        <w:ind w:firstLine="720"/>
        <w:rPr>
          <w:rFonts w:ascii="Times New Roman" w:eastAsia="Times New Roman" w:hAnsi="Times New Roman" w:cs="Times New Roman"/>
          <w:sz w:val="24"/>
          <w:szCs w:val="24"/>
        </w:rPr>
      </w:pPr>
    </w:p>
    <w:p w14:paraId="6321026C" w14:textId="77777777" w:rsidR="00244F7E" w:rsidRDefault="00244F7E" w:rsidP="00025654">
      <w:pPr>
        <w:spacing w:before="69" w:line="480" w:lineRule="auto"/>
        <w:ind w:firstLine="720"/>
        <w:jc w:val="both"/>
        <w:rPr>
          <w:rFonts w:ascii="Times New Roman" w:eastAsia="Times New Roman" w:hAnsi="Times New Roman" w:cs="Times New Roman"/>
          <w:sz w:val="24"/>
          <w:szCs w:val="24"/>
        </w:rPr>
      </w:pPr>
    </w:p>
    <w:sectPr w:rsidR="00244F7E" w:rsidSect="00025654">
      <w:pgSz w:w="11920" w:h="16840"/>
      <w:pgMar w:top="1440" w:right="1440" w:bottom="1440" w:left="1440" w:header="0" w:footer="0" w:gutter="0"/>
      <w:cols w:space="720"/>
      <w:docGrid w:linePitch="28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A11D9"/>
    <w:multiLevelType w:val="multilevel"/>
    <w:tmpl w:val="DA7C5C58"/>
    <w:lvl w:ilvl="0">
      <w:start w:val="1"/>
      <w:numFmt w:val="decimal"/>
      <w:lvlText w:val="%1."/>
      <w:lvlJc w:val="left"/>
      <w:pPr>
        <w:ind w:left="1444" w:hanging="360"/>
      </w:pPr>
    </w:lvl>
    <w:lvl w:ilvl="1">
      <w:start w:val="1"/>
      <w:numFmt w:val="lowerLetter"/>
      <w:lvlText w:val="%2."/>
      <w:lvlJc w:val="left"/>
      <w:pPr>
        <w:ind w:left="2164" w:hanging="360"/>
      </w:pPr>
    </w:lvl>
    <w:lvl w:ilvl="2">
      <w:start w:val="1"/>
      <w:numFmt w:val="lowerRoman"/>
      <w:lvlText w:val="%3."/>
      <w:lvlJc w:val="right"/>
      <w:pPr>
        <w:ind w:left="2884" w:hanging="180"/>
      </w:pPr>
    </w:lvl>
    <w:lvl w:ilvl="3">
      <w:start w:val="1"/>
      <w:numFmt w:val="decimal"/>
      <w:lvlText w:val="%4."/>
      <w:lvlJc w:val="left"/>
      <w:pPr>
        <w:ind w:left="3604" w:hanging="360"/>
      </w:pPr>
    </w:lvl>
    <w:lvl w:ilvl="4">
      <w:start w:val="1"/>
      <w:numFmt w:val="lowerLetter"/>
      <w:lvlText w:val="%5."/>
      <w:lvlJc w:val="left"/>
      <w:pPr>
        <w:ind w:left="4324" w:hanging="360"/>
      </w:pPr>
    </w:lvl>
    <w:lvl w:ilvl="5">
      <w:start w:val="1"/>
      <w:numFmt w:val="lowerRoman"/>
      <w:lvlText w:val="%6."/>
      <w:lvlJc w:val="right"/>
      <w:pPr>
        <w:ind w:left="5044" w:hanging="180"/>
      </w:pPr>
    </w:lvl>
    <w:lvl w:ilvl="6">
      <w:start w:val="1"/>
      <w:numFmt w:val="decimal"/>
      <w:lvlText w:val="%7."/>
      <w:lvlJc w:val="left"/>
      <w:pPr>
        <w:ind w:left="5764" w:hanging="360"/>
      </w:pPr>
    </w:lvl>
    <w:lvl w:ilvl="7">
      <w:start w:val="1"/>
      <w:numFmt w:val="lowerLetter"/>
      <w:lvlText w:val="%8."/>
      <w:lvlJc w:val="left"/>
      <w:pPr>
        <w:ind w:left="6484" w:hanging="360"/>
      </w:pPr>
    </w:lvl>
    <w:lvl w:ilvl="8">
      <w:start w:val="1"/>
      <w:numFmt w:val="lowerRoman"/>
      <w:lvlText w:val="%9."/>
      <w:lvlJc w:val="right"/>
      <w:pPr>
        <w:ind w:left="7204" w:hanging="180"/>
      </w:pPr>
    </w:lvl>
  </w:abstractNum>
  <w:abstractNum w:abstractNumId="1" w15:restartNumberingAfterBreak="0">
    <w:nsid w:val="02AC3FD3"/>
    <w:multiLevelType w:val="multilevel"/>
    <w:tmpl w:val="644E62D0"/>
    <w:lvl w:ilvl="0">
      <w:start w:val="1"/>
      <w:numFmt w:val="bullet"/>
      <w:lvlText w:val="●"/>
      <w:lvlJc w:val="left"/>
      <w:pPr>
        <w:ind w:left="2880" w:hanging="360"/>
      </w:pPr>
      <w:rPr>
        <w:rFonts w:ascii="Noto Sans Symbols" w:eastAsia="Noto Sans Symbols" w:hAnsi="Noto Sans Symbols" w:cs="Noto Sans Symbols"/>
      </w:rPr>
    </w:lvl>
    <w:lvl w:ilvl="1">
      <w:start w:val="1"/>
      <w:numFmt w:val="bullet"/>
      <w:lvlText w:val="o"/>
      <w:lvlJc w:val="left"/>
      <w:pPr>
        <w:ind w:left="3600" w:hanging="360"/>
      </w:pPr>
      <w:rPr>
        <w:rFonts w:ascii="Courier New" w:eastAsia="Courier New" w:hAnsi="Courier New" w:cs="Courier New"/>
      </w:rPr>
    </w:lvl>
    <w:lvl w:ilvl="2">
      <w:start w:val="1"/>
      <w:numFmt w:val="bullet"/>
      <w:lvlText w:val="▪"/>
      <w:lvlJc w:val="left"/>
      <w:pPr>
        <w:ind w:left="4320" w:hanging="360"/>
      </w:pPr>
      <w:rPr>
        <w:rFonts w:ascii="Noto Sans Symbols" w:eastAsia="Noto Sans Symbols" w:hAnsi="Noto Sans Symbols" w:cs="Noto Sans Symbols"/>
      </w:rPr>
    </w:lvl>
    <w:lvl w:ilvl="3">
      <w:start w:val="1"/>
      <w:numFmt w:val="bullet"/>
      <w:lvlText w:val="●"/>
      <w:lvlJc w:val="left"/>
      <w:pPr>
        <w:ind w:left="5040" w:hanging="360"/>
      </w:pPr>
      <w:rPr>
        <w:rFonts w:ascii="Noto Sans Symbols" w:eastAsia="Noto Sans Symbols" w:hAnsi="Noto Sans Symbols" w:cs="Noto Sans Symbols"/>
      </w:rPr>
    </w:lvl>
    <w:lvl w:ilvl="4">
      <w:start w:val="1"/>
      <w:numFmt w:val="bullet"/>
      <w:lvlText w:val="o"/>
      <w:lvlJc w:val="left"/>
      <w:pPr>
        <w:ind w:left="5760" w:hanging="360"/>
      </w:pPr>
      <w:rPr>
        <w:rFonts w:ascii="Courier New" w:eastAsia="Courier New" w:hAnsi="Courier New" w:cs="Courier New"/>
      </w:rPr>
    </w:lvl>
    <w:lvl w:ilvl="5">
      <w:start w:val="1"/>
      <w:numFmt w:val="bullet"/>
      <w:lvlText w:val="▪"/>
      <w:lvlJc w:val="left"/>
      <w:pPr>
        <w:ind w:left="6480" w:hanging="360"/>
      </w:pPr>
      <w:rPr>
        <w:rFonts w:ascii="Noto Sans Symbols" w:eastAsia="Noto Sans Symbols" w:hAnsi="Noto Sans Symbols" w:cs="Noto Sans Symbols"/>
      </w:rPr>
    </w:lvl>
    <w:lvl w:ilvl="6">
      <w:start w:val="1"/>
      <w:numFmt w:val="bullet"/>
      <w:lvlText w:val="●"/>
      <w:lvlJc w:val="left"/>
      <w:pPr>
        <w:ind w:left="7200" w:hanging="360"/>
      </w:pPr>
      <w:rPr>
        <w:rFonts w:ascii="Noto Sans Symbols" w:eastAsia="Noto Sans Symbols" w:hAnsi="Noto Sans Symbols" w:cs="Noto Sans Symbols"/>
      </w:rPr>
    </w:lvl>
    <w:lvl w:ilvl="7">
      <w:start w:val="1"/>
      <w:numFmt w:val="bullet"/>
      <w:lvlText w:val="o"/>
      <w:lvlJc w:val="left"/>
      <w:pPr>
        <w:ind w:left="7920" w:hanging="360"/>
      </w:pPr>
      <w:rPr>
        <w:rFonts w:ascii="Courier New" w:eastAsia="Courier New" w:hAnsi="Courier New" w:cs="Courier New"/>
      </w:rPr>
    </w:lvl>
    <w:lvl w:ilvl="8">
      <w:start w:val="1"/>
      <w:numFmt w:val="bullet"/>
      <w:lvlText w:val="▪"/>
      <w:lvlJc w:val="left"/>
      <w:pPr>
        <w:ind w:left="8640" w:hanging="360"/>
      </w:pPr>
      <w:rPr>
        <w:rFonts w:ascii="Noto Sans Symbols" w:eastAsia="Noto Sans Symbols" w:hAnsi="Noto Sans Symbols" w:cs="Noto Sans Symbols"/>
      </w:rPr>
    </w:lvl>
  </w:abstractNum>
  <w:abstractNum w:abstractNumId="2" w15:restartNumberingAfterBreak="0">
    <w:nsid w:val="0EBE3065"/>
    <w:multiLevelType w:val="hybridMultilevel"/>
    <w:tmpl w:val="85C07CE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C10289C"/>
    <w:multiLevelType w:val="multilevel"/>
    <w:tmpl w:val="36188AE2"/>
    <w:lvl w:ilvl="0">
      <w:start w:val="1"/>
      <w:numFmt w:val="decimal"/>
      <w:lvlText w:val="%1."/>
      <w:lvlJc w:val="left"/>
      <w:pPr>
        <w:ind w:left="1069" w:hanging="360"/>
      </w:pPr>
      <w:rPr>
        <w:b/>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15:restartNumberingAfterBreak="0">
    <w:nsid w:val="56054419"/>
    <w:multiLevelType w:val="multilevel"/>
    <w:tmpl w:val="5F6C0F9C"/>
    <w:lvl w:ilvl="0">
      <w:start w:val="1"/>
      <w:numFmt w:val="decimal"/>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15:restartNumberingAfterBreak="0">
    <w:nsid w:val="575116AE"/>
    <w:multiLevelType w:val="hybridMultilevel"/>
    <w:tmpl w:val="8B0E116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3D91000"/>
    <w:multiLevelType w:val="hybridMultilevel"/>
    <w:tmpl w:val="F5123D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338580894">
    <w:abstractNumId w:val="0"/>
  </w:num>
  <w:num w:numId="2" w16cid:durableId="1181313423">
    <w:abstractNumId w:val="1"/>
  </w:num>
  <w:num w:numId="3" w16cid:durableId="1846943096">
    <w:abstractNumId w:val="4"/>
  </w:num>
  <w:num w:numId="4" w16cid:durableId="192614084">
    <w:abstractNumId w:val="3"/>
  </w:num>
  <w:num w:numId="5" w16cid:durableId="1822428615">
    <w:abstractNumId w:val="2"/>
  </w:num>
  <w:num w:numId="6" w16cid:durableId="1698702802">
    <w:abstractNumId w:val="5"/>
  </w:num>
  <w:num w:numId="7" w16cid:durableId="45320866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4F7E"/>
    <w:rsid w:val="00003BA8"/>
    <w:rsid w:val="00014FEE"/>
    <w:rsid w:val="00017437"/>
    <w:rsid w:val="00024E05"/>
    <w:rsid w:val="00025654"/>
    <w:rsid w:val="00030BC4"/>
    <w:rsid w:val="00041A10"/>
    <w:rsid w:val="00065389"/>
    <w:rsid w:val="000665F8"/>
    <w:rsid w:val="00067017"/>
    <w:rsid w:val="00071D14"/>
    <w:rsid w:val="00077BED"/>
    <w:rsid w:val="000945B6"/>
    <w:rsid w:val="000A0148"/>
    <w:rsid w:val="000B3E8D"/>
    <w:rsid w:val="000C7DD5"/>
    <w:rsid w:val="000F74F5"/>
    <w:rsid w:val="00103AE4"/>
    <w:rsid w:val="00104FCF"/>
    <w:rsid w:val="00115DC2"/>
    <w:rsid w:val="00141677"/>
    <w:rsid w:val="001454D1"/>
    <w:rsid w:val="00150718"/>
    <w:rsid w:val="001A0A30"/>
    <w:rsid w:val="001A0CCF"/>
    <w:rsid w:val="001A691D"/>
    <w:rsid w:val="001A782F"/>
    <w:rsid w:val="001C6231"/>
    <w:rsid w:val="001D41A5"/>
    <w:rsid w:val="001D43F8"/>
    <w:rsid w:val="001F4B73"/>
    <w:rsid w:val="00200970"/>
    <w:rsid w:val="002113A9"/>
    <w:rsid w:val="00230091"/>
    <w:rsid w:val="0023592F"/>
    <w:rsid w:val="00244F7E"/>
    <w:rsid w:val="002472B8"/>
    <w:rsid w:val="00250789"/>
    <w:rsid w:val="002858C9"/>
    <w:rsid w:val="00290C9C"/>
    <w:rsid w:val="002A4D9C"/>
    <w:rsid w:val="002B2CEB"/>
    <w:rsid w:val="002D23CC"/>
    <w:rsid w:val="00304816"/>
    <w:rsid w:val="00310BBD"/>
    <w:rsid w:val="00311753"/>
    <w:rsid w:val="00311F7F"/>
    <w:rsid w:val="00335892"/>
    <w:rsid w:val="00337A49"/>
    <w:rsid w:val="0036487D"/>
    <w:rsid w:val="00377552"/>
    <w:rsid w:val="00385A04"/>
    <w:rsid w:val="003978E6"/>
    <w:rsid w:val="003A1F3C"/>
    <w:rsid w:val="003C0864"/>
    <w:rsid w:val="003D230C"/>
    <w:rsid w:val="003E07C5"/>
    <w:rsid w:val="003E1E82"/>
    <w:rsid w:val="003E7B81"/>
    <w:rsid w:val="003F4926"/>
    <w:rsid w:val="004058E4"/>
    <w:rsid w:val="00405C0B"/>
    <w:rsid w:val="00405C28"/>
    <w:rsid w:val="004336AD"/>
    <w:rsid w:val="00450191"/>
    <w:rsid w:val="004648A9"/>
    <w:rsid w:val="00474B5D"/>
    <w:rsid w:val="00481029"/>
    <w:rsid w:val="004952DE"/>
    <w:rsid w:val="00496835"/>
    <w:rsid w:val="004B2A1D"/>
    <w:rsid w:val="004B5D17"/>
    <w:rsid w:val="004B6E5E"/>
    <w:rsid w:val="004C7B3F"/>
    <w:rsid w:val="004F0C3F"/>
    <w:rsid w:val="004F0FE0"/>
    <w:rsid w:val="00525BA4"/>
    <w:rsid w:val="00541999"/>
    <w:rsid w:val="00576C4C"/>
    <w:rsid w:val="005812E5"/>
    <w:rsid w:val="0058623E"/>
    <w:rsid w:val="00586D43"/>
    <w:rsid w:val="0059558E"/>
    <w:rsid w:val="00597D89"/>
    <w:rsid w:val="00597DE8"/>
    <w:rsid w:val="005A707A"/>
    <w:rsid w:val="005E0520"/>
    <w:rsid w:val="005F3FD9"/>
    <w:rsid w:val="00600104"/>
    <w:rsid w:val="00604579"/>
    <w:rsid w:val="006121E0"/>
    <w:rsid w:val="00640E46"/>
    <w:rsid w:val="00664856"/>
    <w:rsid w:val="00691AEF"/>
    <w:rsid w:val="00692FFA"/>
    <w:rsid w:val="006A71D2"/>
    <w:rsid w:val="006B5C5B"/>
    <w:rsid w:val="006C21C7"/>
    <w:rsid w:val="006C328E"/>
    <w:rsid w:val="006D3A28"/>
    <w:rsid w:val="006D6484"/>
    <w:rsid w:val="006F46AB"/>
    <w:rsid w:val="0070040D"/>
    <w:rsid w:val="00722163"/>
    <w:rsid w:val="0072218E"/>
    <w:rsid w:val="00725811"/>
    <w:rsid w:val="00725A15"/>
    <w:rsid w:val="0072651F"/>
    <w:rsid w:val="007339DF"/>
    <w:rsid w:val="00753AC1"/>
    <w:rsid w:val="00775BF0"/>
    <w:rsid w:val="00791DAE"/>
    <w:rsid w:val="007B35AA"/>
    <w:rsid w:val="007B7023"/>
    <w:rsid w:val="007E0041"/>
    <w:rsid w:val="007E4A10"/>
    <w:rsid w:val="008062A5"/>
    <w:rsid w:val="008076A1"/>
    <w:rsid w:val="00824DEE"/>
    <w:rsid w:val="00825097"/>
    <w:rsid w:val="00835B5A"/>
    <w:rsid w:val="00841599"/>
    <w:rsid w:val="00841A98"/>
    <w:rsid w:val="00844DFC"/>
    <w:rsid w:val="00862683"/>
    <w:rsid w:val="00864BC9"/>
    <w:rsid w:val="008719E9"/>
    <w:rsid w:val="00890325"/>
    <w:rsid w:val="0089297B"/>
    <w:rsid w:val="008B0F5D"/>
    <w:rsid w:val="008D62B3"/>
    <w:rsid w:val="008E1A09"/>
    <w:rsid w:val="008F4081"/>
    <w:rsid w:val="00901072"/>
    <w:rsid w:val="00917351"/>
    <w:rsid w:val="00920A82"/>
    <w:rsid w:val="0095035B"/>
    <w:rsid w:val="009675F7"/>
    <w:rsid w:val="00983E49"/>
    <w:rsid w:val="00987E3A"/>
    <w:rsid w:val="009905CF"/>
    <w:rsid w:val="009B1368"/>
    <w:rsid w:val="009B6FC9"/>
    <w:rsid w:val="009D3CAD"/>
    <w:rsid w:val="009E3F7C"/>
    <w:rsid w:val="00A10F3D"/>
    <w:rsid w:val="00A27DF9"/>
    <w:rsid w:val="00A431A6"/>
    <w:rsid w:val="00A558C1"/>
    <w:rsid w:val="00A7206F"/>
    <w:rsid w:val="00AA501C"/>
    <w:rsid w:val="00AB0AD0"/>
    <w:rsid w:val="00AD334D"/>
    <w:rsid w:val="00AE41B5"/>
    <w:rsid w:val="00AF0E72"/>
    <w:rsid w:val="00AF3B5A"/>
    <w:rsid w:val="00B010C5"/>
    <w:rsid w:val="00B018F2"/>
    <w:rsid w:val="00B37B73"/>
    <w:rsid w:val="00B44597"/>
    <w:rsid w:val="00B86B3F"/>
    <w:rsid w:val="00BB01B7"/>
    <w:rsid w:val="00BD7272"/>
    <w:rsid w:val="00BE0B5E"/>
    <w:rsid w:val="00BF0E4B"/>
    <w:rsid w:val="00BF19B4"/>
    <w:rsid w:val="00BF1CC6"/>
    <w:rsid w:val="00BF2207"/>
    <w:rsid w:val="00BF4D53"/>
    <w:rsid w:val="00C03D5D"/>
    <w:rsid w:val="00C05B08"/>
    <w:rsid w:val="00C06BD8"/>
    <w:rsid w:val="00C14611"/>
    <w:rsid w:val="00C17CC1"/>
    <w:rsid w:val="00C31AD9"/>
    <w:rsid w:val="00C31C44"/>
    <w:rsid w:val="00C36F86"/>
    <w:rsid w:val="00C3712A"/>
    <w:rsid w:val="00C53318"/>
    <w:rsid w:val="00C55108"/>
    <w:rsid w:val="00C57B89"/>
    <w:rsid w:val="00C644CE"/>
    <w:rsid w:val="00C723FF"/>
    <w:rsid w:val="00C74694"/>
    <w:rsid w:val="00C8181B"/>
    <w:rsid w:val="00C8508C"/>
    <w:rsid w:val="00C87636"/>
    <w:rsid w:val="00C923D0"/>
    <w:rsid w:val="00CB0C15"/>
    <w:rsid w:val="00CD62BB"/>
    <w:rsid w:val="00CE291C"/>
    <w:rsid w:val="00CF0201"/>
    <w:rsid w:val="00CF6C29"/>
    <w:rsid w:val="00D1489C"/>
    <w:rsid w:val="00D21DC2"/>
    <w:rsid w:val="00D34EC1"/>
    <w:rsid w:val="00D5712F"/>
    <w:rsid w:val="00D843E6"/>
    <w:rsid w:val="00D87240"/>
    <w:rsid w:val="00D87DE5"/>
    <w:rsid w:val="00DB18BB"/>
    <w:rsid w:val="00DB3222"/>
    <w:rsid w:val="00DB3FD0"/>
    <w:rsid w:val="00DB49F1"/>
    <w:rsid w:val="00DD6F91"/>
    <w:rsid w:val="00DF385D"/>
    <w:rsid w:val="00E04377"/>
    <w:rsid w:val="00E06BA4"/>
    <w:rsid w:val="00E15484"/>
    <w:rsid w:val="00E170D2"/>
    <w:rsid w:val="00E45122"/>
    <w:rsid w:val="00E66404"/>
    <w:rsid w:val="00E752B9"/>
    <w:rsid w:val="00E8452A"/>
    <w:rsid w:val="00E84733"/>
    <w:rsid w:val="00EA3A81"/>
    <w:rsid w:val="00EB5464"/>
    <w:rsid w:val="00EB5CD7"/>
    <w:rsid w:val="00EC26DF"/>
    <w:rsid w:val="00EC5CC7"/>
    <w:rsid w:val="00EC65C4"/>
    <w:rsid w:val="00ED126C"/>
    <w:rsid w:val="00F0720B"/>
    <w:rsid w:val="00F1082C"/>
    <w:rsid w:val="00F12305"/>
    <w:rsid w:val="00F21A9A"/>
    <w:rsid w:val="00F36C5F"/>
    <w:rsid w:val="00F445D9"/>
    <w:rsid w:val="00F5033F"/>
    <w:rsid w:val="00F60855"/>
    <w:rsid w:val="00F75582"/>
    <w:rsid w:val="00F76359"/>
    <w:rsid w:val="00F8239C"/>
    <w:rsid w:val="00F90671"/>
    <w:rsid w:val="00FA495F"/>
    <w:rsid w:val="00FA6AF0"/>
    <w:rsid w:val="00FB21FA"/>
    <w:rsid w:val="00FC1C00"/>
    <w:rsid w:val="00FC1F32"/>
    <w:rsid w:val="00FF579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EC9A4"/>
  <w15:docId w15:val="{1A3CF8FA-B26F-41AF-88D7-3EAE5242FE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1"/>
        <w:szCs w:val="21"/>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kinsoku w:val="0"/>
      <w:autoSpaceDE w:val="0"/>
      <w:autoSpaceDN w:val="0"/>
      <w:adjustRightInd w:val="0"/>
      <w:snapToGrid w:val="0"/>
      <w:textAlignment w:val="baseline"/>
    </w:pPr>
    <w:rPr>
      <w:snapToGrid w:val="0"/>
      <w:color w:val="000000"/>
    </w:rPr>
  </w:style>
  <w:style w:type="paragraph" w:styleId="Ttulo1">
    <w:name w:val="heading 1"/>
    <w:basedOn w:val="Normal"/>
    <w:next w:val="Normal"/>
    <w:link w:val="Ttulo1Car"/>
    <w:uiPriority w:val="9"/>
    <w:qFormat/>
    <w:rsid w:val="004824FA"/>
    <w:pPr>
      <w:keepNext/>
      <w:keepLines/>
      <w:kinsoku/>
      <w:autoSpaceDE/>
      <w:autoSpaceDN/>
      <w:adjustRightInd/>
      <w:snapToGrid/>
      <w:spacing w:before="240" w:line="259" w:lineRule="auto"/>
      <w:textAlignment w:val="auto"/>
      <w:outlineLvl w:val="0"/>
    </w:pPr>
    <w:rPr>
      <w:rFonts w:asciiTheme="majorHAnsi" w:eastAsiaTheme="majorEastAsia" w:hAnsiTheme="majorHAnsi" w:cstheme="majorBidi"/>
      <w:snapToGrid/>
      <w:color w:val="365F91" w:themeColor="accent1" w:themeShade="BF"/>
      <w:sz w:val="32"/>
      <w:szCs w:val="32"/>
    </w:rPr>
  </w:style>
  <w:style w:type="paragraph" w:styleId="Ttulo2">
    <w:name w:val="heading 2"/>
    <w:basedOn w:val="Normal"/>
    <w:next w:val="Normal"/>
    <w:link w:val="Ttulo2Car"/>
    <w:uiPriority w:val="9"/>
    <w:unhideWhenUsed/>
    <w:qFormat/>
    <w:rsid w:val="00A6628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A66281"/>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1">
    <w:name w:val="Table Normal1"/>
    <w:unhideWhenUsed/>
    <w:qFormat/>
    <w:tblPr>
      <w:tblCellMar>
        <w:top w:w="0" w:type="dxa"/>
        <w:left w:w="0" w:type="dxa"/>
        <w:bottom w:w="0" w:type="dxa"/>
        <w:right w:w="0" w:type="dxa"/>
      </w:tblCellMar>
    </w:tblPr>
  </w:style>
  <w:style w:type="paragraph" w:styleId="Textonotaalfinal">
    <w:name w:val="endnote text"/>
    <w:basedOn w:val="Normal"/>
    <w:link w:val="TextonotaalfinalCar"/>
    <w:rsid w:val="00AC6E99"/>
    <w:rPr>
      <w:sz w:val="20"/>
      <w:szCs w:val="20"/>
    </w:rPr>
  </w:style>
  <w:style w:type="character" w:customStyle="1" w:styleId="TextonotaalfinalCar">
    <w:name w:val="Texto nota al final Car"/>
    <w:basedOn w:val="Fuentedeprrafopredeter"/>
    <w:link w:val="Textonotaalfinal"/>
    <w:rsid w:val="00AC6E99"/>
    <w:rPr>
      <w:snapToGrid w:val="0"/>
      <w:color w:val="000000"/>
      <w:lang w:val="en-US"/>
    </w:rPr>
  </w:style>
  <w:style w:type="character" w:styleId="Refdenotaalfinal">
    <w:name w:val="endnote reference"/>
    <w:basedOn w:val="Fuentedeprrafopredeter"/>
    <w:rsid w:val="00AC6E99"/>
    <w:rPr>
      <w:vertAlign w:val="superscript"/>
    </w:rPr>
  </w:style>
  <w:style w:type="paragraph" w:styleId="Textonotapie">
    <w:name w:val="footnote text"/>
    <w:basedOn w:val="Normal"/>
    <w:link w:val="TextonotapieCar"/>
    <w:rsid w:val="00AC6E99"/>
    <w:rPr>
      <w:sz w:val="20"/>
      <w:szCs w:val="20"/>
    </w:rPr>
  </w:style>
  <w:style w:type="character" w:customStyle="1" w:styleId="TextonotapieCar">
    <w:name w:val="Texto nota pie Car"/>
    <w:basedOn w:val="Fuentedeprrafopredeter"/>
    <w:link w:val="Textonotapie"/>
    <w:rsid w:val="00AC6E99"/>
    <w:rPr>
      <w:snapToGrid w:val="0"/>
      <w:color w:val="000000"/>
      <w:lang w:val="en-US"/>
    </w:rPr>
  </w:style>
  <w:style w:type="character" w:styleId="Refdenotaalpie">
    <w:name w:val="footnote reference"/>
    <w:basedOn w:val="Fuentedeprrafopredeter"/>
    <w:rsid w:val="00AC6E99"/>
    <w:rPr>
      <w:vertAlign w:val="superscript"/>
    </w:rPr>
  </w:style>
  <w:style w:type="character" w:styleId="Hipervnculo">
    <w:name w:val="Hyperlink"/>
    <w:basedOn w:val="Fuentedeprrafopredeter"/>
    <w:uiPriority w:val="99"/>
    <w:rsid w:val="00AC6E99"/>
    <w:rPr>
      <w:color w:val="0000FF" w:themeColor="hyperlink"/>
      <w:u w:val="single"/>
    </w:rPr>
  </w:style>
  <w:style w:type="character" w:styleId="Mencinsinresolver">
    <w:name w:val="Unresolved Mention"/>
    <w:basedOn w:val="Fuentedeprrafopredeter"/>
    <w:uiPriority w:val="99"/>
    <w:semiHidden/>
    <w:unhideWhenUsed/>
    <w:rsid w:val="00AC6E99"/>
    <w:rPr>
      <w:color w:val="605E5C"/>
      <w:shd w:val="clear" w:color="auto" w:fill="E1DFDD"/>
    </w:rPr>
  </w:style>
  <w:style w:type="paragraph" w:styleId="Prrafodelista">
    <w:name w:val="List Paragraph"/>
    <w:basedOn w:val="Normal"/>
    <w:uiPriority w:val="99"/>
    <w:rsid w:val="006E786B"/>
    <w:pPr>
      <w:ind w:left="720"/>
      <w:contextualSpacing/>
    </w:pPr>
  </w:style>
  <w:style w:type="character" w:styleId="Hipervnculovisitado">
    <w:name w:val="FollowedHyperlink"/>
    <w:basedOn w:val="Fuentedeprrafopredeter"/>
    <w:rsid w:val="007B6C9D"/>
    <w:rPr>
      <w:color w:val="800080" w:themeColor="followedHyperlink"/>
      <w:u w:val="single"/>
    </w:rPr>
  </w:style>
  <w:style w:type="paragraph" w:styleId="Bibliografa">
    <w:name w:val="Bibliography"/>
    <w:basedOn w:val="Normal"/>
    <w:next w:val="Normal"/>
    <w:uiPriority w:val="37"/>
    <w:unhideWhenUsed/>
    <w:rsid w:val="00693F27"/>
  </w:style>
  <w:style w:type="character" w:customStyle="1" w:styleId="Ttulo1Car">
    <w:name w:val="Título 1 Car"/>
    <w:basedOn w:val="Fuentedeprrafopredeter"/>
    <w:link w:val="Ttulo1"/>
    <w:uiPriority w:val="9"/>
    <w:rsid w:val="004824FA"/>
    <w:rPr>
      <w:rFonts w:asciiTheme="majorHAnsi" w:eastAsiaTheme="majorEastAsia" w:hAnsiTheme="majorHAnsi" w:cstheme="majorBidi"/>
      <w:color w:val="365F91" w:themeColor="accent1" w:themeShade="BF"/>
      <w:sz w:val="32"/>
      <w:szCs w:val="32"/>
      <w:lang w:val="es-CO" w:eastAsia="es-CO"/>
    </w:rPr>
  </w:style>
  <w:style w:type="paragraph" w:styleId="Encabezado">
    <w:name w:val="header"/>
    <w:basedOn w:val="Normal"/>
    <w:link w:val="EncabezadoCar"/>
    <w:rsid w:val="004824FA"/>
    <w:pPr>
      <w:tabs>
        <w:tab w:val="center" w:pos="4419"/>
        <w:tab w:val="right" w:pos="8838"/>
      </w:tabs>
    </w:pPr>
  </w:style>
  <w:style w:type="character" w:customStyle="1" w:styleId="EncabezadoCar">
    <w:name w:val="Encabezado Car"/>
    <w:basedOn w:val="Fuentedeprrafopredeter"/>
    <w:link w:val="Encabezado"/>
    <w:rsid w:val="004824FA"/>
    <w:rPr>
      <w:snapToGrid w:val="0"/>
      <w:color w:val="000000"/>
      <w:sz w:val="21"/>
      <w:szCs w:val="21"/>
      <w:lang w:val="es-CO"/>
    </w:rPr>
  </w:style>
  <w:style w:type="paragraph" w:styleId="Piedepgina">
    <w:name w:val="footer"/>
    <w:basedOn w:val="Normal"/>
    <w:link w:val="PiedepginaCar"/>
    <w:rsid w:val="004824FA"/>
    <w:pPr>
      <w:tabs>
        <w:tab w:val="center" w:pos="4419"/>
        <w:tab w:val="right" w:pos="8838"/>
      </w:tabs>
    </w:pPr>
  </w:style>
  <w:style w:type="character" w:customStyle="1" w:styleId="PiedepginaCar">
    <w:name w:val="Pie de página Car"/>
    <w:basedOn w:val="Fuentedeprrafopredeter"/>
    <w:link w:val="Piedepgina"/>
    <w:rsid w:val="004824FA"/>
    <w:rPr>
      <w:snapToGrid w:val="0"/>
      <w:color w:val="000000"/>
      <w:sz w:val="21"/>
      <w:szCs w:val="21"/>
      <w:lang w:val="es-CO"/>
    </w:rPr>
  </w:style>
  <w:style w:type="paragraph" w:styleId="Descripcin">
    <w:name w:val="caption"/>
    <w:basedOn w:val="Normal"/>
    <w:next w:val="Normal"/>
    <w:unhideWhenUsed/>
    <w:qFormat/>
    <w:rsid w:val="004824FA"/>
    <w:pPr>
      <w:spacing w:after="200"/>
    </w:pPr>
    <w:rPr>
      <w:i/>
      <w:iCs/>
      <w:color w:val="1F497D" w:themeColor="text2"/>
      <w:sz w:val="18"/>
      <w:szCs w:val="18"/>
    </w:rPr>
  </w:style>
  <w:style w:type="paragraph" w:styleId="Tabladeilustraciones">
    <w:name w:val="table of figures"/>
    <w:basedOn w:val="Normal"/>
    <w:next w:val="Normal"/>
    <w:uiPriority w:val="99"/>
    <w:rsid w:val="004824FA"/>
  </w:style>
  <w:style w:type="paragraph" w:styleId="NormalWeb">
    <w:name w:val="Normal (Web)"/>
    <w:basedOn w:val="Normal"/>
    <w:uiPriority w:val="99"/>
    <w:unhideWhenUsed/>
    <w:rsid w:val="00A66281"/>
    <w:pPr>
      <w:kinsoku/>
      <w:autoSpaceDE/>
      <w:autoSpaceDN/>
      <w:adjustRightInd/>
      <w:snapToGrid/>
      <w:spacing w:before="100" w:beforeAutospacing="1" w:after="100" w:afterAutospacing="1"/>
      <w:textAlignment w:val="auto"/>
    </w:pPr>
    <w:rPr>
      <w:rFonts w:ascii="Times New Roman" w:eastAsia="Times New Roman" w:hAnsi="Times New Roman" w:cs="Times New Roman"/>
      <w:snapToGrid/>
      <w:color w:val="auto"/>
      <w:sz w:val="24"/>
      <w:szCs w:val="24"/>
    </w:rPr>
  </w:style>
  <w:style w:type="character" w:customStyle="1" w:styleId="Ttulo2Car">
    <w:name w:val="Título 2 Car"/>
    <w:basedOn w:val="Fuentedeprrafopredeter"/>
    <w:link w:val="Ttulo2"/>
    <w:semiHidden/>
    <w:rsid w:val="00A66281"/>
    <w:rPr>
      <w:rFonts w:asciiTheme="majorHAnsi" w:eastAsiaTheme="majorEastAsia" w:hAnsiTheme="majorHAnsi" w:cstheme="majorBidi"/>
      <w:snapToGrid w:val="0"/>
      <w:color w:val="365F91" w:themeColor="accent1" w:themeShade="BF"/>
      <w:sz w:val="26"/>
      <w:szCs w:val="26"/>
      <w:lang w:val="es-CO"/>
    </w:rPr>
  </w:style>
  <w:style w:type="character" w:customStyle="1" w:styleId="Ttulo3Car">
    <w:name w:val="Título 3 Car"/>
    <w:basedOn w:val="Fuentedeprrafopredeter"/>
    <w:link w:val="Ttulo3"/>
    <w:semiHidden/>
    <w:rsid w:val="00A66281"/>
    <w:rPr>
      <w:rFonts w:asciiTheme="majorHAnsi" w:eastAsiaTheme="majorEastAsia" w:hAnsiTheme="majorHAnsi" w:cstheme="majorBidi"/>
      <w:snapToGrid w:val="0"/>
      <w:color w:val="243F60" w:themeColor="accent1" w:themeShade="7F"/>
      <w:sz w:val="24"/>
      <w:szCs w:val="24"/>
      <w:lang w:val="es-CO"/>
    </w:rPr>
  </w:style>
  <w:style w:type="paragraph" w:styleId="TtuloTDC">
    <w:name w:val="TOC Heading"/>
    <w:basedOn w:val="Ttulo1"/>
    <w:next w:val="Normal"/>
    <w:uiPriority w:val="39"/>
    <w:unhideWhenUsed/>
    <w:qFormat/>
    <w:rsid w:val="00A66281"/>
    <w:pPr>
      <w:outlineLvl w:val="9"/>
    </w:pPr>
  </w:style>
  <w:style w:type="paragraph" w:styleId="TDC1">
    <w:name w:val="toc 1"/>
    <w:basedOn w:val="Normal"/>
    <w:next w:val="Normal"/>
    <w:autoRedefine/>
    <w:uiPriority w:val="39"/>
    <w:rsid w:val="00A66281"/>
    <w:pPr>
      <w:spacing w:after="100"/>
    </w:pPr>
  </w:style>
  <w:style w:type="paragraph" w:styleId="TDC2">
    <w:name w:val="toc 2"/>
    <w:basedOn w:val="Normal"/>
    <w:next w:val="Normal"/>
    <w:autoRedefine/>
    <w:uiPriority w:val="39"/>
    <w:rsid w:val="00A66281"/>
    <w:pPr>
      <w:spacing w:after="100"/>
      <w:ind w:left="210"/>
    </w:pPr>
  </w:style>
  <w:style w:type="paragraph" w:styleId="TDC3">
    <w:name w:val="toc 3"/>
    <w:basedOn w:val="Normal"/>
    <w:next w:val="Normal"/>
    <w:autoRedefine/>
    <w:uiPriority w:val="39"/>
    <w:rsid w:val="00A66281"/>
    <w:pPr>
      <w:spacing w:after="100"/>
      <w:ind w:left="420"/>
    </w:pPr>
  </w:style>
  <w:style w:type="character" w:styleId="Refdecomentario">
    <w:name w:val="annotation reference"/>
    <w:basedOn w:val="Fuentedeprrafopredeter"/>
    <w:rsid w:val="00A66281"/>
    <w:rPr>
      <w:sz w:val="16"/>
      <w:szCs w:val="16"/>
    </w:rPr>
  </w:style>
  <w:style w:type="paragraph" w:styleId="Textocomentario">
    <w:name w:val="annotation text"/>
    <w:basedOn w:val="Normal"/>
    <w:link w:val="TextocomentarioCar"/>
    <w:rsid w:val="00A66281"/>
    <w:rPr>
      <w:sz w:val="20"/>
      <w:szCs w:val="20"/>
    </w:rPr>
  </w:style>
  <w:style w:type="character" w:customStyle="1" w:styleId="TextocomentarioCar">
    <w:name w:val="Texto comentario Car"/>
    <w:basedOn w:val="Fuentedeprrafopredeter"/>
    <w:link w:val="Textocomentario"/>
    <w:rsid w:val="00A66281"/>
    <w:rPr>
      <w:snapToGrid w:val="0"/>
      <w:color w:val="000000"/>
      <w:lang w:val="es-CO"/>
    </w:rPr>
  </w:style>
  <w:style w:type="paragraph" w:styleId="Asuntodelcomentario">
    <w:name w:val="annotation subject"/>
    <w:basedOn w:val="Textocomentario"/>
    <w:next w:val="Textocomentario"/>
    <w:link w:val="AsuntodelcomentarioCar"/>
    <w:rsid w:val="00A66281"/>
    <w:rPr>
      <w:b/>
      <w:bCs/>
    </w:rPr>
  </w:style>
  <w:style w:type="character" w:customStyle="1" w:styleId="AsuntodelcomentarioCar">
    <w:name w:val="Asunto del comentario Car"/>
    <w:basedOn w:val="TextocomentarioCar"/>
    <w:link w:val="Asuntodelcomentario"/>
    <w:rsid w:val="00A66281"/>
    <w:rPr>
      <w:b/>
      <w:bCs/>
      <w:snapToGrid w:val="0"/>
      <w:color w:val="000000"/>
      <w:lang w:val="es-CO"/>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image" Target="media/image1.jpg"/><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about:blank" TargetMode="External"/><Relationship Id="rId5" Type="http://schemas.openxmlformats.org/officeDocument/2006/relationships/settings" Target="settings.xml"/><Relationship Id="rId10" Type="http://schemas.openxmlformats.org/officeDocument/2006/relationships/hyperlink" Target="about:blank" TargetMode="External"/><Relationship Id="rId4" Type="http://schemas.openxmlformats.org/officeDocument/2006/relationships/styles" Target="styles.xml"/><Relationship Id="rId9" Type="http://schemas.openxmlformats.org/officeDocument/2006/relationships/image" Target="media/image3.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x66l8POhkfTqycXAAzv3HTOg1Vw==">CgMxLjAyDmguZnl4ZHJ4b2VwNGU2MghoLmdqZGd4czIJaC4zMGowemxsMgloLjFmb2I5dGUyCWguM3pueXNoNzIJaC4yZXQ5MnAwMghoLnR5amN3dDIJaC4zZHk2dmttMgloLjF0M2g1c2YyCWguNGQzNG9nODIJaC4yczhleW8xMgloLjE3ZHA4dnUyCWguM3JkY3JqbjIJaC4yNmluMXJnMghoLmxueGJ6OTIJaC4zNW5rdW4yMgloLjFrc3Y0dXYyCWguNDRzaW5pbzIJaC4yanhzeHFoMghoLnozMzd5YTIJaC4zajJxcW0zMgloLjF5ODEwdHcyCWguNGk3b2pocDIJaC4yeGN5dHBpMgloLjFjaTkzeGIyCWguM3dod21sNDIJaC4yYm42d3N4OAByITFEdXVSMmpmQlFyQ2dGcGVCd3VkcW4xQjJ5ek5oZ3BlMA==</go:docsCustomData>
</go:gDocsCustomXmlDataStorage>
</file>

<file path=customXml/itemProps1.xml><?xml version="1.0" encoding="utf-8"?>
<ds:datastoreItem xmlns:ds="http://schemas.openxmlformats.org/officeDocument/2006/customXml" ds:itemID="{BEF07B88-884D-4E7C-BF08-32710D207944}">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58</Pages>
  <Words>12369</Words>
  <Characters>68033</Characters>
  <Application>Microsoft Office Word</Application>
  <DocSecurity>0</DocSecurity>
  <Lines>566</Lines>
  <Paragraphs>160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camelo</dc:creator>
  <cp:keywords/>
  <dc:description/>
  <cp:lastModifiedBy>Andrea camelo</cp:lastModifiedBy>
  <cp:revision>13</cp:revision>
  <cp:lastPrinted>2023-11-19T21:58:00Z</cp:lastPrinted>
  <dcterms:created xsi:type="dcterms:W3CDTF">2023-11-19T21:44:00Z</dcterms:created>
  <dcterms:modified xsi:type="dcterms:W3CDTF">2023-11-19T21:59:00Z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wqlLaW5nc29mdCBQREYgdG8gV1BTIDkwQg</vt:lpwstr>
  </property>
  <property fmtid="{D5CDD505-2E9C-101B-9397-08002B2CF9AE}" pid="3" name="Created">
    <vt:filetime>2023-03-03T23:32:00Z</vt:filetime>
  </property>
  <property fmtid="{D5CDD505-2E9C-101B-9397-08002B2CF9AE}" pid="4" name="ICV">
    <vt:lpwstr>590098303720FD0381170264C2A8051E</vt:lpwstr>
  </property>
  <property fmtid="{D5CDD505-2E9C-101B-9397-08002B2CF9AE}" pid="5" name="KSOProductBuildVer">
    <vt:lpwstr>3081-11.29.5</vt:lpwstr>
  </property>
</Properties>
</file>